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CEAF7" w:themeColor="text2" w:themeTint="19"/>
  <w:body>
    <w:p w14:paraId="482893C9" w14:textId="6BFCD255" w:rsidR="00C84DE8" w:rsidRPr="00EE042F" w:rsidRDefault="00C84DE8" w:rsidP="00B640D8">
      <w:pPr>
        <w:autoSpaceDE w:val="0"/>
        <w:autoSpaceDN w:val="0"/>
        <w:adjustRightInd w:val="0"/>
        <w:spacing w:after="0" w:line="240" w:lineRule="auto"/>
        <w:jc w:val="center"/>
        <w:rPr>
          <w:rFonts w:cs="CIDFont+F1"/>
          <w:b/>
          <w:bCs/>
          <w:color w:val="FF0000"/>
          <w:sz w:val="56"/>
          <w:szCs w:val="56"/>
        </w:rPr>
      </w:pPr>
      <w:r w:rsidRPr="00EE042F">
        <w:rPr>
          <w:rFonts w:cs="CIDFont+F1"/>
          <w:b/>
          <w:bCs/>
          <w:color w:val="FF0000"/>
          <w:sz w:val="56"/>
          <w:szCs w:val="56"/>
        </w:rPr>
        <w:t>TÜRKİYE LİMANCILIK SEKTÖRÜ</w:t>
      </w:r>
    </w:p>
    <w:p w14:paraId="608A4A69" w14:textId="77777777" w:rsidR="00C84DE8" w:rsidRPr="00B640D8" w:rsidRDefault="00C84DE8" w:rsidP="00B640D8">
      <w:pPr>
        <w:autoSpaceDE w:val="0"/>
        <w:autoSpaceDN w:val="0"/>
        <w:adjustRightInd w:val="0"/>
        <w:spacing w:after="0" w:line="240" w:lineRule="auto"/>
        <w:jc w:val="center"/>
        <w:rPr>
          <w:rFonts w:cs="CIDFont+F1"/>
          <w:b/>
          <w:bCs/>
          <w:color w:val="000000"/>
          <w:sz w:val="56"/>
          <w:szCs w:val="56"/>
        </w:rPr>
      </w:pPr>
    </w:p>
    <w:p w14:paraId="19272F62" w14:textId="3B0B0B90" w:rsidR="00B640D8" w:rsidRPr="00EE042F" w:rsidRDefault="00B14C20" w:rsidP="00B640D8">
      <w:pPr>
        <w:autoSpaceDE w:val="0"/>
        <w:autoSpaceDN w:val="0"/>
        <w:adjustRightInd w:val="0"/>
        <w:spacing w:after="0" w:line="240" w:lineRule="auto"/>
        <w:jc w:val="center"/>
        <w:rPr>
          <w:rFonts w:cs="CIDFont+F1"/>
          <w:b/>
          <w:bCs/>
          <w:color w:val="FF0000"/>
          <w:sz w:val="56"/>
          <w:szCs w:val="56"/>
        </w:rPr>
      </w:pPr>
      <w:r>
        <w:rPr>
          <w:rFonts w:cs="CIDFont+F1"/>
          <w:b/>
          <w:bCs/>
          <w:color w:val="FF0000"/>
          <w:sz w:val="56"/>
          <w:szCs w:val="56"/>
        </w:rPr>
        <w:t>2023-</w:t>
      </w:r>
      <w:r w:rsidR="00C84DE8" w:rsidRPr="00EE042F">
        <w:rPr>
          <w:rFonts w:cs="CIDFont+F1"/>
          <w:b/>
          <w:bCs/>
          <w:color w:val="FF0000"/>
          <w:sz w:val="56"/>
          <w:szCs w:val="56"/>
        </w:rPr>
        <w:t xml:space="preserve">2024 YILI </w:t>
      </w:r>
    </w:p>
    <w:p w14:paraId="510ACC23" w14:textId="1A967585" w:rsidR="00C84DE8" w:rsidRPr="00EE042F" w:rsidRDefault="00C84DE8" w:rsidP="00B640D8">
      <w:pPr>
        <w:autoSpaceDE w:val="0"/>
        <w:autoSpaceDN w:val="0"/>
        <w:adjustRightInd w:val="0"/>
        <w:spacing w:after="0" w:line="240" w:lineRule="auto"/>
        <w:jc w:val="center"/>
        <w:rPr>
          <w:rFonts w:cs="CIDFont+F1"/>
          <w:b/>
          <w:bCs/>
          <w:color w:val="FF0000"/>
          <w:sz w:val="56"/>
          <w:szCs w:val="56"/>
        </w:rPr>
      </w:pPr>
      <w:r w:rsidRPr="00EE042F">
        <w:rPr>
          <w:rFonts w:cs="CIDFont+F1"/>
          <w:b/>
          <w:bCs/>
          <w:color w:val="FF0000"/>
          <w:sz w:val="56"/>
          <w:szCs w:val="56"/>
        </w:rPr>
        <w:t>DEĞERLENDİRME RAPORU</w:t>
      </w:r>
    </w:p>
    <w:p w14:paraId="58983B28" w14:textId="77777777" w:rsidR="00C84DE8" w:rsidRDefault="00C84DE8" w:rsidP="00C84DE8">
      <w:pPr>
        <w:autoSpaceDE w:val="0"/>
        <w:autoSpaceDN w:val="0"/>
        <w:adjustRightInd w:val="0"/>
        <w:spacing w:after="0" w:line="240" w:lineRule="auto"/>
        <w:rPr>
          <w:rFonts w:ascii="CIDFont+F2" w:hAnsi="CIDFont+F2" w:cs="CIDFont+F2"/>
          <w:color w:val="000000"/>
          <w:sz w:val="36"/>
          <w:szCs w:val="36"/>
        </w:rPr>
      </w:pPr>
    </w:p>
    <w:p w14:paraId="342D23CA" w14:textId="3016E75E" w:rsidR="00C84DE8" w:rsidRPr="00B538D7" w:rsidRDefault="00191476" w:rsidP="00B538D7">
      <w:pPr>
        <w:autoSpaceDE w:val="0"/>
        <w:autoSpaceDN w:val="0"/>
        <w:adjustRightInd w:val="0"/>
        <w:spacing w:after="0" w:line="240" w:lineRule="auto"/>
        <w:jc w:val="center"/>
        <w:rPr>
          <w:rFonts w:ascii="Calibri" w:hAnsi="Calibri" w:cs="Calibri"/>
          <w:b/>
          <w:bCs/>
          <w:color w:val="000000"/>
          <w:sz w:val="36"/>
          <w:szCs w:val="36"/>
        </w:rPr>
      </w:pPr>
      <w:r w:rsidRPr="00B538D7">
        <w:rPr>
          <w:rFonts w:ascii="Calibri" w:hAnsi="Calibri" w:cs="Calibri"/>
          <w:b/>
          <w:bCs/>
          <w:color w:val="000000"/>
          <w:sz w:val="36"/>
          <w:szCs w:val="36"/>
        </w:rPr>
        <w:t>12.</w:t>
      </w:r>
      <w:r w:rsidR="00B538D7" w:rsidRPr="00B538D7">
        <w:rPr>
          <w:rFonts w:ascii="Calibri" w:hAnsi="Calibri" w:cs="Calibri"/>
          <w:b/>
          <w:bCs/>
          <w:color w:val="000000"/>
          <w:sz w:val="36"/>
          <w:szCs w:val="36"/>
        </w:rPr>
        <w:t>02.2024</w:t>
      </w:r>
    </w:p>
    <w:p w14:paraId="4F7E8930" w14:textId="77777777" w:rsidR="00C84DE8" w:rsidRDefault="00C84DE8" w:rsidP="00C84DE8">
      <w:pPr>
        <w:rPr>
          <w:rFonts w:ascii="CIDFont+F3" w:hAnsi="CIDFont+F3" w:cs="CIDFont+F3"/>
          <w:color w:val="000000"/>
          <w:sz w:val="24"/>
          <w:szCs w:val="24"/>
        </w:rPr>
      </w:pPr>
    </w:p>
    <w:p w14:paraId="7A62C43A" w14:textId="208FE61F" w:rsidR="00C84DE8" w:rsidRDefault="00EE042F" w:rsidP="00C84DE8">
      <w:pPr>
        <w:rPr>
          <w:rFonts w:ascii="CIDFont+F3" w:hAnsi="CIDFont+F3" w:cs="CIDFont+F3"/>
          <w:color w:val="000000"/>
          <w:sz w:val="24"/>
          <w:szCs w:val="24"/>
        </w:rPr>
      </w:pPr>
      <w:r>
        <w:rPr>
          <w:noProof/>
        </w:rPr>
        <w:drawing>
          <wp:inline distT="0" distB="0" distL="0" distR="0" wp14:anchorId="4B7BE5B0" wp14:editId="08565CEA">
            <wp:extent cx="5861550" cy="920750"/>
            <wp:effectExtent l="0" t="0" r="6350" b="0"/>
            <wp:docPr id="498858064" name="Resim 2" descr="Port Activities - Toros Tarı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 Activities - Toros Tarı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0222" cy="928396"/>
                    </a:xfrm>
                    <a:prstGeom prst="rect">
                      <a:avLst/>
                    </a:prstGeom>
                    <a:noFill/>
                    <a:ln>
                      <a:noFill/>
                    </a:ln>
                  </pic:spPr>
                </pic:pic>
              </a:graphicData>
            </a:graphic>
          </wp:inline>
        </w:drawing>
      </w:r>
      <w:r w:rsidR="00F8100A">
        <w:rPr>
          <w:noProof/>
        </w:rPr>
        <w:drawing>
          <wp:inline distT="0" distB="0" distL="0" distR="0" wp14:anchorId="00E37B89" wp14:editId="485D7324">
            <wp:extent cx="3015574" cy="1743058"/>
            <wp:effectExtent l="0" t="0" r="0" b="0"/>
            <wp:docPr id="1" name="Resim 1" descr="İhracata liman darbesi! KARADENİZ EKONOMİ Karadenizin İlk ve Tek Ekonomi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racata liman darbesi! KARADENİZ EKONOMİ Karadenizin İlk ve Tek Ekonomi  Gazete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2037" cy="1764134"/>
                    </a:xfrm>
                    <a:prstGeom prst="rect">
                      <a:avLst/>
                    </a:prstGeom>
                    <a:noFill/>
                    <a:ln>
                      <a:noFill/>
                    </a:ln>
                  </pic:spPr>
                </pic:pic>
              </a:graphicData>
            </a:graphic>
          </wp:inline>
        </w:drawing>
      </w:r>
      <w:r w:rsidR="00B640D8" w:rsidRPr="00B640D8">
        <w:rPr>
          <w:noProof/>
        </w:rPr>
        <w:t xml:space="preserve"> </w:t>
      </w:r>
      <w:r w:rsidR="00B640D8">
        <w:rPr>
          <w:noProof/>
        </w:rPr>
        <w:drawing>
          <wp:inline distT="0" distB="0" distL="0" distR="0" wp14:anchorId="305318B8" wp14:editId="11F3CD4B">
            <wp:extent cx="2820334" cy="1743710"/>
            <wp:effectExtent l="0" t="0" r="0" b="8890"/>
            <wp:docPr id="2" name="Resim 1" descr="Hizmetler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zmetlerimi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5097" cy="1752837"/>
                    </a:xfrm>
                    <a:prstGeom prst="rect">
                      <a:avLst/>
                    </a:prstGeom>
                    <a:noFill/>
                    <a:ln>
                      <a:noFill/>
                    </a:ln>
                  </pic:spPr>
                </pic:pic>
              </a:graphicData>
            </a:graphic>
          </wp:inline>
        </w:drawing>
      </w:r>
    </w:p>
    <w:p w14:paraId="74E0CF69" w14:textId="77777777" w:rsidR="00B640D8" w:rsidRDefault="00B640D8" w:rsidP="00B640D8">
      <w:pPr>
        <w:autoSpaceDE w:val="0"/>
        <w:autoSpaceDN w:val="0"/>
        <w:adjustRightInd w:val="0"/>
        <w:spacing w:after="0" w:line="240" w:lineRule="auto"/>
        <w:rPr>
          <w:rFonts w:ascii="CIDFont+F2" w:hAnsi="CIDFont+F2" w:cs="CIDFont+F2"/>
          <w:color w:val="000000"/>
          <w:sz w:val="36"/>
          <w:szCs w:val="36"/>
          <w:u w:val="single"/>
        </w:rPr>
      </w:pPr>
    </w:p>
    <w:p w14:paraId="65130EBC" w14:textId="11687219" w:rsidR="00B640D8" w:rsidRDefault="00B640D8" w:rsidP="00B640D8">
      <w:pPr>
        <w:autoSpaceDE w:val="0"/>
        <w:autoSpaceDN w:val="0"/>
        <w:adjustRightInd w:val="0"/>
        <w:spacing w:after="0" w:line="240" w:lineRule="auto"/>
        <w:rPr>
          <w:rFonts w:ascii="CIDFont+F2" w:hAnsi="CIDFont+F2" w:cs="CIDFont+F2"/>
          <w:color w:val="000000"/>
          <w:sz w:val="36"/>
          <w:szCs w:val="36"/>
          <w:u w:val="single"/>
        </w:rPr>
      </w:pPr>
    </w:p>
    <w:p w14:paraId="76EB70B0" w14:textId="77777777" w:rsidR="004815E6" w:rsidRDefault="004815E6" w:rsidP="00FC3A17">
      <w:pPr>
        <w:autoSpaceDE w:val="0"/>
        <w:autoSpaceDN w:val="0"/>
        <w:adjustRightInd w:val="0"/>
        <w:spacing w:after="0" w:line="240" w:lineRule="auto"/>
        <w:jc w:val="center"/>
        <w:rPr>
          <w:rFonts w:ascii="CIDFont+F2" w:hAnsi="CIDFont+F2" w:cs="CIDFont+F2"/>
          <w:color w:val="000000"/>
          <w:sz w:val="36"/>
          <w:szCs w:val="36"/>
          <w:u w:val="single"/>
        </w:rPr>
      </w:pPr>
    </w:p>
    <w:p w14:paraId="10DD6A3F" w14:textId="4DEEF9E9" w:rsidR="004815E6" w:rsidRPr="00B538D7" w:rsidRDefault="000C7045" w:rsidP="00FC3A17">
      <w:pPr>
        <w:autoSpaceDE w:val="0"/>
        <w:autoSpaceDN w:val="0"/>
        <w:adjustRightInd w:val="0"/>
        <w:spacing w:after="0" w:line="240" w:lineRule="auto"/>
        <w:jc w:val="center"/>
        <w:rPr>
          <w:rFonts w:cs="CIDFont+F1"/>
          <w:b/>
          <w:bCs/>
          <w:sz w:val="52"/>
          <w:szCs w:val="52"/>
        </w:rPr>
      </w:pPr>
      <w:r w:rsidRPr="00B538D7">
        <w:rPr>
          <w:rFonts w:cs="CIDFont+F1"/>
          <w:b/>
          <w:bCs/>
          <w:sz w:val="52"/>
          <w:szCs w:val="52"/>
        </w:rPr>
        <w:t xml:space="preserve">TOPLAM YÜK VE KONTEYNER </w:t>
      </w:r>
    </w:p>
    <w:p w14:paraId="05F436D5" w14:textId="77777777" w:rsidR="004815E6" w:rsidRPr="000C7045" w:rsidRDefault="004815E6" w:rsidP="00FC3A17">
      <w:pPr>
        <w:autoSpaceDE w:val="0"/>
        <w:autoSpaceDN w:val="0"/>
        <w:adjustRightInd w:val="0"/>
        <w:spacing w:after="0" w:line="240" w:lineRule="auto"/>
        <w:jc w:val="center"/>
        <w:rPr>
          <w:rFonts w:ascii="ADLaM Display" w:hAnsi="ADLaM Display" w:cs="ADLaM Display"/>
          <w:color w:val="000000"/>
          <w:sz w:val="36"/>
          <w:szCs w:val="36"/>
        </w:rPr>
      </w:pPr>
    </w:p>
    <w:p w14:paraId="64631706" w14:textId="77777777" w:rsidR="00CD0581" w:rsidRDefault="00CD0581" w:rsidP="004B38D8">
      <w:pPr>
        <w:autoSpaceDE w:val="0"/>
        <w:autoSpaceDN w:val="0"/>
        <w:adjustRightInd w:val="0"/>
        <w:spacing w:after="0" w:line="240" w:lineRule="auto"/>
        <w:rPr>
          <w:rFonts w:ascii="ADLaM Display" w:hAnsi="ADLaM Display" w:cs="ADLaM Display"/>
          <w:color w:val="000000"/>
          <w:sz w:val="36"/>
          <w:szCs w:val="36"/>
          <w:u w:val="single"/>
        </w:rPr>
      </w:pPr>
    </w:p>
    <w:p w14:paraId="66A4E975" w14:textId="77777777" w:rsidR="00B538D7" w:rsidRDefault="00B538D7" w:rsidP="00D839D9">
      <w:pPr>
        <w:autoSpaceDE w:val="0"/>
        <w:autoSpaceDN w:val="0"/>
        <w:adjustRightInd w:val="0"/>
        <w:spacing w:after="0" w:line="240" w:lineRule="auto"/>
        <w:rPr>
          <w:rFonts w:ascii="ADLaM Display" w:hAnsi="ADLaM Display" w:cs="ADLaM Display"/>
          <w:color w:val="000000"/>
          <w:sz w:val="28"/>
          <w:szCs w:val="28"/>
          <w:u w:val="single"/>
        </w:rPr>
      </w:pPr>
    </w:p>
    <w:p w14:paraId="281556C9" w14:textId="77777777" w:rsidR="00B538D7" w:rsidRDefault="00B538D7" w:rsidP="00D839D9">
      <w:pPr>
        <w:autoSpaceDE w:val="0"/>
        <w:autoSpaceDN w:val="0"/>
        <w:adjustRightInd w:val="0"/>
        <w:spacing w:after="0" w:line="240" w:lineRule="auto"/>
        <w:rPr>
          <w:rFonts w:ascii="ADLaM Display" w:hAnsi="ADLaM Display" w:cs="ADLaM Display"/>
          <w:color w:val="000000"/>
          <w:sz w:val="28"/>
          <w:szCs w:val="28"/>
          <w:u w:val="single"/>
        </w:rPr>
      </w:pPr>
    </w:p>
    <w:p w14:paraId="788302E0" w14:textId="5F9D1401" w:rsidR="00B640D8" w:rsidRPr="00B14C20" w:rsidRDefault="00B640D8" w:rsidP="00D839D9">
      <w:pPr>
        <w:autoSpaceDE w:val="0"/>
        <w:autoSpaceDN w:val="0"/>
        <w:adjustRightInd w:val="0"/>
        <w:spacing w:after="0" w:line="240" w:lineRule="auto"/>
        <w:rPr>
          <w:rFonts w:ascii="ADLaM Display" w:hAnsi="ADLaM Display" w:cs="ADLaM Display"/>
          <w:color w:val="000000"/>
          <w:sz w:val="28"/>
          <w:szCs w:val="28"/>
          <w:u w:val="single"/>
        </w:rPr>
      </w:pPr>
      <w:r w:rsidRPr="00B14C20">
        <w:rPr>
          <w:rFonts w:ascii="ADLaM Display" w:hAnsi="ADLaM Display" w:cs="ADLaM Display"/>
          <w:color w:val="000000"/>
          <w:sz w:val="28"/>
          <w:szCs w:val="28"/>
          <w:u w:val="single"/>
        </w:rPr>
        <w:t>Hazırlayan:</w:t>
      </w:r>
    </w:p>
    <w:p w14:paraId="65222B33" w14:textId="77777777" w:rsidR="00482C65" w:rsidRDefault="00482C65" w:rsidP="00D839D9">
      <w:pPr>
        <w:autoSpaceDE w:val="0"/>
        <w:autoSpaceDN w:val="0"/>
        <w:adjustRightInd w:val="0"/>
        <w:spacing w:after="0" w:line="240" w:lineRule="auto"/>
        <w:rPr>
          <w:rFonts w:cs="ADLaM Display"/>
          <w:b/>
          <w:bCs/>
          <w:sz w:val="32"/>
          <w:szCs w:val="32"/>
        </w:rPr>
      </w:pPr>
    </w:p>
    <w:p w14:paraId="551240DD" w14:textId="3AE7AE9A" w:rsidR="00B640D8" w:rsidRPr="00482C65" w:rsidRDefault="00D839D9" w:rsidP="00D839D9">
      <w:pPr>
        <w:autoSpaceDE w:val="0"/>
        <w:autoSpaceDN w:val="0"/>
        <w:adjustRightInd w:val="0"/>
        <w:spacing w:after="0" w:line="240" w:lineRule="auto"/>
        <w:rPr>
          <w:rFonts w:cs="ADLaM Display"/>
          <w:b/>
          <w:bCs/>
          <w:sz w:val="32"/>
          <w:szCs w:val="32"/>
        </w:rPr>
      </w:pPr>
      <w:r w:rsidRPr="00482C65">
        <w:rPr>
          <w:rFonts w:cs="ADLaM Display"/>
          <w:b/>
          <w:bCs/>
          <w:sz w:val="32"/>
          <w:szCs w:val="32"/>
        </w:rPr>
        <w:t>A</w:t>
      </w:r>
      <w:r w:rsidR="00B640D8" w:rsidRPr="00482C65">
        <w:rPr>
          <w:rFonts w:cs="ADLaM Display"/>
          <w:b/>
          <w:bCs/>
          <w:sz w:val="32"/>
          <w:szCs w:val="32"/>
        </w:rPr>
        <w:t>ydın ERDEMİR</w:t>
      </w:r>
    </w:p>
    <w:p w14:paraId="43F385EF" w14:textId="373FFDDE" w:rsidR="00D839D9" w:rsidRPr="00482C65" w:rsidRDefault="00B640D8" w:rsidP="00D839D9">
      <w:pPr>
        <w:autoSpaceDE w:val="0"/>
        <w:autoSpaceDN w:val="0"/>
        <w:adjustRightInd w:val="0"/>
        <w:spacing w:after="0" w:line="240" w:lineRule="auto"/>
        <w:rPr>
          <w:rFonts w:cs="ADLaM Display"/>
          <w:b/>
          <w:bCs/>
          <w:sz w:val="20"/>
          <w:szCs w:val="20"/>
        </w:rPr>
      </w:pPr>
      <w:r w:rsidRPr="00482C65">
        <w:rPr>
          <w:rFonts w:cs="ADLaM Display"/>
          <w:b/>
          <w:bCs/>
          <w:sz w:val="20"/>
          <w:szCs w:val="20"/>
        </w:rPr>
        <w:t>Tekfen Holding</w:t>
      </w:r>
      <w:r w:rsidR="00D839D9" w:rsidRPr="00482C65">
        <w:rPr>
          <w:rFonts w:cs="ADLaM Display"/>
          <w:b/>
          <w:bCs/>
          <w:sz w:val="20"/>
          <w:szCs w:val="20"/>
        </w:rPr>
        <w:t xml:space="preserve"> / </w:t>
      </w:r>
      <w:r w:rsidR="00482C65" w:rsidRPr="00482C65">
        <w:rPr>
          <w:rFonts w:cs="ADLaM Display"/>
          <w:b/>
          <w:bCs/>
          <w:sz w:val="20"/>
          <w:szCs w:val="20"/>
        </w:rPr>
        <w:t>Denizcilikten ve Limanlardan Sorumlu GMY</w:t>
      </w:r>
    </w:p>
    <w:p w14:paraId="72091B47" w14:textId="34B05671" w:rsidR="00B640D8" w:rsidRPr="00482C65" w:rsidRDefault="00B640D8" w:rsidP="00D839D9">
      <w:pPr>
        <w:autoSpaceDE w:val="0"/>
        <w:autoSpaceDN w:val="0"/>
        <w:adjustRightInd w:val="0"/>
        <w:spacing w:after="0" w:line="240" w:lineRule="auto"/>
        <w:rPr>
          <w:rFonts w:cs="ADLaM Display"/>
          <w:b/>
          <w:bCs/>
          <w:sz w:val="20"/>
          <w:szCs w:val="20"/>
        </w:rPr>
      </w:pPr>
      <w:r w:rsidRPr="00482C65">
        <w:rPr>
          <w:rFonts w:cs="ADLaM Display"/>
          <w:b/>
          <w:bCs/>
          <w:sz w:val="20"/>
          <w:szCs w:val="20"/>
        </w:rPr>
        <w:t>Torosport Ceyhan</w:t>
      </w:r>
      <w:r w:rsidR="004815E6" w:rsidRPr="00482C65">
        <w:rPr>
          <w:rFonts w:cs="ADLaM Display"/>
          <w:b/>
          <w:bCs/>
          <w:sz w:val="20"/>
          <w:szCs w:val="20"/>
        </w:rPr>
        <w:t xml:space="preserve"> </w:t>
      </w:r>
      <w:r w:rsidRPr="00482C65">
        <w:rPr>
          <w:rFonts w:cs="ADLaM Display"/>
          <w:b/>
          <w:bCs/>
          <w:sz w:val="20"/>
          <w:szCs w:val="20"/>
        </w:rPr>
        <w:t>&amp;</w:t>
      </w:r>
      <w:r w:rsidR="004815E6" w:rsidRPr="00482C65">
        <w:rPr>
          <w:rFonts w:cs="ADLaM Display"/>
          <w:b/>
          <w:bCs/>
          <w:sz w:val="20"/>
          <w:szCs w:val="20"/>
        </w:rPr>
        <w:t xml:space="preserve"> </w:t>
      </w:r>
      <w:r w:rsidRPr="00482C65">
        <w:rPr>
          <w:rFonts w:cs="ADLaM Display"/>
          <w:b/>
          <w:bCs/>
          <w:sz w:val="20"/>
          <w:szCs w:val="20"/>
        </w:rPr>
        <w:t>Samsun</w:t>
      </w:r>
      <w:r w:rsidR="00482C65">
        <w:rPr>
          <w:rFonts w:cs="ADLaM Display"/>
          <w:b/>
          <w:bCs/>
          <w:sz w:val="20"/>
          <w:szCs w:val="20"/>
        </w:rPr>
        <w:t xml:space="preserve"> / Toros Gemi Ace</w:t>
      </w:r>
      <w:r w:rsidR="00191476">
        <w:rPr>
          <w:rFonts w:cs="ADLaM Display"/>
          <w:b/>
          <w:bCs/>
          <w:sz w:val="20"/>
          <w:szCs w:val="20"/>
        </w:rPr>
        <w:t>nteliği</w:t>
      </w:r>
    </w:p>
    <w:p w14:paraId="20E5E0E9" w14:textId="77777777" w:rsidR="009B3347" w:rsidRDefault="009B3347" w:rsidP="002B6338">
      <w:pPr>
        <w:spacing w:line="240" w:lineRule="auto"/>
        <w:contextualSpacing/>
        <w:rPr>
          <w:rFonts w:cstheme="minorHAnsi"/>
          <w:b/>
          <w:bCs/>
        </w:rPr>
      </w:pPr>
    </w:p>
    <w:p w14:paraId="3949CA71" w14:textId="77777777" w:rsidR="009B3347" w:rsidRDefault="009B3347" w:rsidP="002B6338">
      <w:pPr>
        <w:spacing w:line="240" w:lineRule="auto"/>
        <w:contextualSpacing/>
        <w:rPr>
          <w:rFonts w:cstheme="minorHAnsi"/>
          <w:b/>
          <w:bCs/>
        </w:rPr>
      </w:pPr>
    </w:p>
    <w:p w14:paraId="259527F6" w14:textId="77777777" w:rsidR="003140C0" w:rsidRDefault="003140C0" w:rsidP="002B6338">
      <w:pPr>
        <w:spacing w:line="240" w:lineRule="auto"/>
        <w:contextualSpacing/>
        <w:rPr>
          <w:rFonts w:cstheme="minorHAnsi"/>
          <w:b/>
          <w:bCs/>
        </w:rPr>
      </w:pPr>
    </w:p>
    <w:p w14:paraId="121BAC22" w14:textId="77777777" w:rsidR="003140C0" w:rsidRDefault="003140C0" w:rsidP="002B6338">
      <w:pPr>
        <w:spacing w:line="240" w:lineRule="auto"/>
        <w:contextualSpacing/>
        <w:rPr>
          <w:rFonts w:cstheme="minorHAnsi"/>
          <w:b/>
          <w:bCs/>
        </w:rPr>
      </w:pPr>
    </w:p>
    <w:p w14:paraId="04405B08" w14:textId="662AC6DB" w:rsidR="000C7045" w:rsidRPr="00F92BEF" w:rsidRDefault="000C7045" w:rsidP="00F92BEF">
      <w:pPr>
        <w:spacing w:line="240" w:lineRule="auto"/>
        <w:contextualSpacing/>
        <w:jc w:val="center"/>
        <w:rPr>
          <w:rFonts w:cstheme="minorHAnsi"/>
          <w:b/>
          <w:bCs/>
          <w:sz w:val="40"/>
          <w:szCs w:val="40"/>
          <w:u w:val="single"/>
        </w:rPr>
      </w:pPr>
      <w:r w:rsidRPr="00F92BEF">
        <w:rPr>
          <w:rFonts w:cstheme="minorHAnsi"/>
          <w:b/>
          <w:bCs/>
          <w:sz w:val="40"/>
          <w:szCs w:val="40"/>
          <w:u w:val="single"/>
        </w:rPr>
        <w:t>İÇİNDEKİLER</w:t>
      </w:r>
    </w:p>
    <w:p w14:paraId="3B56610E" w14:textId="77777777" w:rsidR="000C7045" w:rsidRDefault="000C7045" w:rsidP="002B6338">
      <w:pPr>
        <w:spacing w:line="240" w:lineRule="auto"/>
        <w:contextualSpacing/>
        <w:rPr>
          <w:rFonts w:cstheme="minorHAnsi"/>
          <w:b/>
          <w:bCs/>
          <w:sz w:val="24"/>
          <w:szCs w:val="24"/>
        </w:rPr>
      </w:pPr>
    </w:p>
    <w:p w14:paraId="545D6743" w14:textId="77777777" w:rsidR="00F92BEF" w:rsidRDefault="00F92BEF" w:rsidP="002B6338">
      <w:pPr>
        <w:spacing w:line="240" w:lineRule="auto"/>
        <w:contextualSpacing/>
        <w:rPr>
          <w:rFonts w:cstheme="minorHAnsi"/>
          <w:b/>
          <w:bCs/>
          <w:sz w:val="24"/>
          <w:szCs w:val="24"/>
        </w:rPr>
      </w:pPr>
    </w:p>
    <w:p w14:paraId="66FEA274" w14:textId="77777777" w:rsidR="00F92BEF" w:rsidRDefault="00F92BEF" w:rsidP="002B6338">
      <w:pPr>
        <w:spacing w:line="240" w:lineRule="auto"/>
        <w:contextualSpacing/>
        <w:rPr>
          <w:rFonts w:cstheme="minorHAnsi"/>
          <w:b/>
          <w:bCs/>
          <w:sz w:val="24"/>
          <w:szCs w:val="24"/>
        </w:rPr>
      </w:pPr>
    </w:p>
    <w:p w14:paraId="14F354EC" w14:textId="77777777" w:rsidR="00191476" w:rsidRDefault="00191476" w:rsidP="002B6338">
      <w:pPr>
        <w:spacing w:line="240" w:lineRule="auto"/>
        <w:contextualSpacing/>
        <w:rPr>
          <w:rFonts w:cstheme="minorHAnsi"/>
          <w:b/>
          <w:bCs/>
          <w:sz w:val="24"/>
          <w:szCs w:val="24"/>
        </w:rPr>
      </w:pPr>
    </w:p>
    <w:p w14:paraId="636F7B49" w14:textId="77777777" w:rsidR="00191476" w:rsidRDefault="00191476" w:rsidP="002B6338">
      <w:pPr>
        <w:spacing w:line="240" w:lineRule="auto"/>
        <w:contextualSpacing/>
        <w:rPr>
          <w:rFonts w:cstheme="minorHAnsi"/>
          <w:b/>
          <w:bCs/>
          <w:sz w:val="24"/>
          <w:szCs w:val="24"/>
        </w:rPr>
      </w:pPr>
    </w:p>
    <w:p w14:paraId="2319AD2E" w14:textId="77777777" w:rsidR="00191476" w:rsidRPr="00F92BEF" w:rsidRDefault="00191476" w:rsidP="002B6338">
      <w:pPr>
        <w:spacing w:line="240" w:lineRule="auto"/>
        <w:contextualSpacing/>
        <w:rPr>
          <w:rFonts w:cstheme="minorHAnsi"/>
          <w:b/>
          <w:bCs/>
          <w:sz w:val="24"/>
          <w:szCs w:val="24"/>
        </w:rPr>
      </w:pPr>
    </w:p>
    <w:p w14:paraId="60B68A2B" w14:textId="3320421A" w:rsidR="007E35A3" w:rsidRPr="00F92BEF" w:rsidRDefault="00F92BEF" w:rsidP="00F6480B">
      <w:pPr>
        <w:pStyle w:val="ListeParagraf"/>
        <w:tabs>
          <w:tab w:val="left" w:pos="567"/>
        </w:tabs>
        <w:ind w:left="0"/>
        <w:jc w:val="both"/>
        <w:rPr>
          <w:rFonts w:cstheme="minorHAnsi"/>
          <w:b/>
          <w:bCs/>
          <w:sz w:val="24"/>
          <w:szCs w:val="24"/>
        </w:rPr>
      </w:pPr>
      <w:r w:rsidRPr="00F92BEF">
        <w:rPr>
          <w:rFonts w:cstheme="minorHAnsi"/>
          <w:b/>
          <w:bCs/>
          <w:sz w:val="24"/>
          <w:szCs w:val="24"/>
        </w:rPr>
        <w:t>1.TOPLAM YÜK DEĞERLENDİRMESİ</w:t>
      </w:r>
    </w:p>
    <w:p w14:paraId="17B5FB74" w14:textId="5A750F4F" w:rsidR="00F6480B" w:rsidRPr="00F92BEF" w:rsidRDefault="00F92BEF" w:rsidP="00F6480B">
      <w:pPr>
        <w:pStyle w:val="ListeParagraf"/>
        <w:tabs>
          <w:tab w:val="left" w:pos="567"/>
        </w:tabs>
        <w:ind w:left="0"/>
        <w:jc w:val="both"/>
        <w:rPr>
          <w:rFonts w:cstheme="minorHAnsi"/>
          <w:b/>
          <w:bCs/>
          <w:sz w:val="24"/>
          <w:szCs w:val="24"/>
        </w:rPr>
      </w:pPr>
      <w:r w:rsidRPr="00F92BEF">
        <w:rPr>
          <w:rFonts w:cstheme="minorHAnsi"/>
          <w:b/>
          <w:bCs/>
          <w:sz w:val="24"/>
          <w:szCs w:val="24"/>
        </w:rPr>
        <w:t>1.1.</w:t>
      </w:r>
      <w:r w:rsidR="007E35A3" w:rsidRPr="00F92BEF">
        <w:rPr>
          <w:rFonts w:cstheme="minorHAnsi"/>
          <w:b/>
          <w:bCs/>
          <w:sz w:val="24"/>
          <w:szCs w:val="24"/>
        </w:rPr>
        <w:t>Gümrük Rejimlerine Göre Toplam Yükte Tonaj Değişimi</w:t>
      </w:r>
    </w:p>
    <w:p w14:paraId="15CDC646" w14:textId="0FFB993E" w:rsidR="00F6480B" w:rsidRPr="00F92BEF" w:rsidRDefault="00F92BEF" w:rsidP="00F6480B">
      <w:pPr>
        <w:pStyle w:val="ListeParagraf"/>
        <w:tabs>
          <w:tab w:val="left" w:pos="567"/>
        </w:tabs>
        <w:ind w:left="0"/>
        <w:jc w:val="both"/>
        <w:rPr>
          <w:rFonts w:cstheme="minorHAnsi"/>
          <w:b/>
          <w:bCs/>
          <w:sz w:val="24"/>
          <w:szCs w:val="24"/>
        </w:rPr>
      </w:pPr>
      <w:r w:rsidRPr="00F92BEF">
        <w:rPr>
          <w:rFonts w:cstheme="minorHAnsi"/>
          <w:b/>
          <w:bCs/>
          <w:sz w:val="24"/>
          <w:szCs w:val="24"/>
        </w:rPr>
        <w:t>1.2.</w:t>
      </w:r>
      <w:r w:rsidR="007E35A3" w:rsidRPr="00F92BEF">
        <w:rPr>
          <w:rFonts w:cstheme="minorHAnsi"/>
          <w:b/>
          <w:bCs/>
          <w:sz w:val="24"/>
          <w:szCs w:val="24"/>
        </w:rPr>
        <w:t>TÜRKLİM’in Vizyon 2050 Tahmin Senaryolarına Göre Toplam Yükte Büyüme Beklentisi</w:t>
      </w:r>
    </w:p>
    <w:p w14:paraId="0A28F6E5" w14:textId="22970736" w:rsidR="007E35A3" w:rsidRPr="00F92BEF" w:rsidRDefault="00F92BEF" w:rsidP="00F6480B">
      <w:pPr>
        <w:pStyle w:val="ListeParagraf"/>
        <w:tabs>
          <w:tab w:val="left" w:pos="567"/>
        </w:tabs>
        <w:ind w:left="0"/>
        <w:jc w:val="both"/>
        <w:rPr>
          <w:rFonts w:cstheme="minorHAnsi"/>
          <w:sz w:val="24"/>
          <w:szCs w:val="24"/>
        </w:rPr>
      </w:pPr>
      <w:r w:rsidRPr="00F92BEF">
        <w:rPr>
          <w:rFonts w:cstheme="minorHAnsi"/>
          <w:b/>
          <w:bCs/>
          <w:sz w:val="24"/>
          <w:szCs w:val="24"/>
        </w:rPr>
        <w:t>1.3.</w:t>
      </w:r>
      <w:r w:rsidR="007E35A3" w:rsidRPr="00F92BEF">
        <w:rPr>
          <w:rFonts w:cstheme="minorHAnsi"/>
          <w:b/>
          <w:bCs/>
          <w:sz w:val="24"/>
          <w:szCs w:val="24"/>
        </w:rPr>
        <w:t>Liman Başkanlıkları Bazında Toplam Yükte Tonaj ve Büyüme Oranları</w:t>
      </w:r>
    </w:p>
    <w:p w14:paraId="6094771F" w14:textId="64EBD790" w:rsidR="007E35A3" w:rsidRPr="00F92BEF" w:rsidRDefault="00F92BEF" w:rsidP="00F6480B">
      <w:pPr>
        <w:pStyle w:val="ListeParagraf"/>
        <w:tabs>
          <w:tab w:val="left" w:pos="567"/>
        </w:tabs>
        <w:ind w:left="0"/>
        <w:jc w:val="both"/>
        <w:rPr>
          <w:rFonts w:cstheme="minorHAnsi"/>
          <w:b/>
          <w:bCs/>
          <w:sz w:val="24"/>
          <w:szCs w:val="24"/>
        </w:rPr>
      </w:pPr>
      <w:r w:rsidRPr="00F92BEF">
        <w:rPr>
          <w:rFonts w:cstheme="minorHAnsi"/>
          <w:b/>
          <w:bCs/>
          <w:sz w:val="24"/>
          <w:szCs w:val="24"/>
        </w:rPr>
        <w:t>1.4.</w:t>
      </w:r>
      <w:r w:rsidR="007E35A3" w:rsidRPr="00F92BEF">
        <w:rPr>
          <w:rFonts w:cstheme="minorHAnsi"/>
          <w:b/>
          <w:bCs/>
          <w:sz w:val="24"/>
          <w:szCs w:val="24"/>
        </w:rPr>
        <w:t>Bölgelere Göre Toplam Yükte Tonajlar ve Bölgelerin Payı</w:t>
      </w:r>
    </w:p>
    <w:p w14:paraId="58423E28" w14:textId="77777777" w:rsidR="00F92BEF" w:rsidRPr="00F92BEF" w:rsidRDefault="00F92BEF" w:rsidP="00F6480B">
      <w:pPr>
        <w:pStyle w:val="ListeParagraf"/>
        <w:tabs>
          <w:tab w:val="left" w:pos="284"/>
        </w:tabs>
        <w:ind w:left="0"/>
        <w:jc w:val="both"/>
        <w:rPr>
          <w:rFonts w:cstheme="minorHAnsi"/>
          <w:b/>
          <w:bCs/>
          <w:sz w:val="24"/>
          <w:szCs w:val="24"/>
        </w:rPr>
      </w:pPr>
    </w:p>
    <w:p w14:paraId="3AAAC87D" w14:textId="77949C5C" w:rsidR="007E35A3" w:rsidRPr="00F92BEF" w:rsidRDefault="00F92BEF" w:rsidP="00F6480B">
      <w:pPr>
        <w:pStyle w:val="ListeParagraf"/>
        <w:tabs>
          <w:tab w:val="left" w:pos="284"/>
        </w:tabs>
        <w:ind w:left="0"/>
        <w:jc w:val="both"/>
        <w:rPr>
          <w:rFonts w:cstheme="minorHAnsi"/>
          <w:b/>
          <w:bCs/>
          <w:sz w:val="24"/>
          <w:szCs w:val="24"/>
        </w:rPr>
      </w:pPr>
      <w:r w:rsidRPr="00F92BEF">
        <w:rPr>
          <w:rFonts w:cstheme="minorHAnsi"/>
          <w:b/>
          <w:bCs/>
          <w:sz w:val="24"/>
          <w:szCs w:val="24"/>
        </w:rPr>
        <w:t>2.KONTEYNER DEĞERLENDİRMESİ</w:t>
      </w:r>
    </w:p>
    <w:p w14:paraId="2304E9AF" w14:textId="57D7A6A2" w:rsidR="00F92BEF" w:rsidRPr="00F92BEF" w:rsidRDefault="00F92BEF" w:rsidP="00F92BEF">
      <w:pPr>
        <w:pStyle w:val="ListeParagraf"/>
        <w:tabs>
          <w:tab w:val="left" w:pos="567"/>
        </w:tabs>
        <w:ind w:left="0"/>
        <w:jc w:val="both"/>
        <w:rPr>
          <w:rFonts w:cstheme="minorHAnsi"/>
          <w:b/>
          <w:bCs/>
          <w:sz w:val="24"/>
          <w:szCs w:val="24"/>
        </w:rPr>
      </w:pPr>
      <w:r w:rsidRPr="00F92BEF">
        <w:rPr>
          <w:rFonts w:cstheme="minorHAnsi"/>
          <w:b/>
          <w:bCs/>
          <w:sz w:val="24"/>
          <w:szCs w:val="24"/>
        </w:rPr>
        <w:t xml:space="preserve">2.1.Gümrük Rejimlerine Göre Toplam </w:t>
      </w:r>
      <w:r w:rsidR="00931E3D">
        <w:rPr>
          <w:rFonts w:cstheme="minorHAnsi"/>
          <w:b/>
          <w:bCs/>
          <w:sz w:val="24"/>
          <w:szCs w:val="24"/>
        </w:rPr>
        <w:t>Konteynerde</w:t>
      </w:r>
      <w:r w:rsidRPr="00F92BEF">
        <w:rPr>
          <w:rFonts w:cstheme="minorHAnsi"/>
          <w:b/>
          <w:bCs/>
          <w:sz w:val="24"/>
          <w:szCs w:val="24"/>
        </w:rPr>
        <w:t xml:space="preserve"> Tonaj Değişimi</w:t>
      </w:r>
    </w:p>
    <w:p w14:paraId="0E85A89B" w14:textId="02C696CE" w:rsidR="00F92BEF" w:rsidRPr="00F92BEF" w:rsidRDefault="00F92BEF" w:rsidP="00F92BEF">
      <w:pPr>
        <w:pStyle w:val="ListeParagraf"/>
        <w:tabs>
          <w:tab w:val="left" w:pos="567"/>
        </w:tabs>
        <w:ind w:left="0"/>
        <w:jc w:val="both"/>
        <w:rPr>
          <w:rFonts w:cstheme="minorHAnsi"/>
          <w:sz w:val="24"/>
          <w:szCs w:val="24"/>
        </w:rPr>
      </w:pPr>
      <w:r w:rsidRPr="00F92BEF">
        <w:rPr>
          <w:rFonts w:cstheme="minorHAnsi"/>
          <w:b/>
          <w:bCs/>
          <w:sz w:val="24"/>
          <w:szCs w:val="24"/>
        </w:rPr>
        <w:t>2.2.TÜRKLİM’in Vizyon 2050 Tahmin Senaryolarına Göre Konteynerde Büyüme Beklentisi</w:t>
      </w:r>
    </w:p>
    <w:p w14:paraId="38A20778" w14:textId="24EDCCC3" w:rsidR="00F92BEF" w:rsidRPr="00F92BEF" w:rsidRDefault="00F92BEF" w:rsidP="00F92BEF">
      <w:pPr>
        <w:pStyle w:val="ListeParagraf"/>
        <w:tabs>
          <w:tab w:val="left" w:pos="567"/>
        </w:tabs>
        <w:ind w:left="0"/>
        <w:jc w:val="both"/>
        <w:rPr>
          <w:rFonts w:cstheme="minorHAnsi"/>
          <w:b/>
          <w:bCs/>
          <w:sz w:val="24"/>
          <w:szCs w:val="24"/>
        </w:rPr>
      </w:pPr>
      <w:r w:rsidRPr="00F92BEF">
        <w:rPr>
          <w:rFonts w:cstheme="minorHAnsi"/>
          <w:b/>
          <w:bCs/>
          <w:sz w:val="24"/>
          <w:szCs w:val="24"/>
        </w:rPr>
        <w:t>2.2.Liman Başkanlıkları Bazında Konteynerde Tonaj ve Büyüme Oranları</w:t>
      </w:r>
    </w:p>
    <w:p w14:paraId="3B05532C" w14:textId="60B108C6" w:rsidR="00F92BEF" w:rsidRPr="00F92BEF" w:rsidRDefault="00F92BEF" w:rsidP="00F92BEF">
      <w:pPr>
        <w:pStyle w:val="ListeParagraf"/>
        <w:tabs>
          <w:tab w:val="left" w:pos="567"/>
        </w:tabs>
        <w:ind w:left="0"/>
        <w:jc w:val="both"/>
        <w:rPr>
          <w:rFonts w:cstheme="minorHAnsi"/>
          <w:b/>
          <w:bCs/>
          <w:sz w:val="24"/>
          <w:szCs w:val="24"/>
        </w:rPr>
      </w:pPr>
      <w:r w:rsidRPr="00F92BEF">
        <w:rPr>
          <w:rFonts w:cstheme="minorHAnsi"/>
          <w:b/>
          <w:bCs/>
          <w:sz w:val="24"/>
          <w:szCs w:val="24"/>
        </w:rPr>
        <w:t xml:space="preserve">2.2.Bölgelere Göre Konteynerde </w:t>
      </w:r>
      <w:r w:rsidR="00E1612D" w:rsidRPr="00F92BEF">
        <w:rPr>
          <w:rFonts w:cstheme="minorHAnsi"/>
          <w:b/>
          <w:bCs/>
          <w:sz w:val="24"/>
          <w:szCs w:val="24"/>
        </w:rPr>
        <w:t>Tonajlar ve Bölgelerin Payı</w:t>
      </w:r>
    </w:p>
    <w:p w14:paraId="1BB5C42E" w14:textId="6046B0D7" w:rsidR="001948E4" w:rsidRPr="006A36D3" w:rsidRDefault="006A36D3" w:rsidP="001948E4">
      <w:pPr>
        <w:tabs>
          <w:tab w:val="left" w:pos="567"/>
        </w:tabs>
        <w:rPr>
          <w:rFonts w:cstheme="minorHAnsi"/>
          <w:b/>
          <w:bCs/>
          <w:sz w:val="24"/>
          <w:szCs w:val="24"/>
        </w:rPr>
      </w:pPr>
      <w:r w:rsidRPr="006A36D3">
        <w:rPr>
          <w:rFonts w:cstheme="minorHAnsi"/>
          <w:b/>
          <w:bCs/>
          <w:sz w:val="24"/>
          <w:szCs w:val="24"/>
        </w:rPr>
        <w:t>3.</w:t>
      </w:r>
      <w:r w:rsidR="00BD110A" w:rsidRPr="006A36D3">
        <w:rPr>
          <w:rFonts w:cstheme="minorHAnsi"/>
          <w:b/>
          <w:bCs/>
          <w:sz w:val="24"/>
          <w:szCs w:val="24"/>
        </w:rPr>
        <w:t>GENEL DEĞER</w:t>
      </w:r>
      <w:r w:rsidRPr="006A36D3">
        <w:rPr>
          <w:rFonts w:cstheme="minorHAnsi"/>
          <w:b/>
          <w:bCs/>
          <w:sz w:val="24"/>
          <w:szCs w:val="24"/>
        </w:rPr>
        <w:t>LENDİRME</w:t>
      </w:r>
    </w:p>
    <w:p w14:paraId="0297FFB9" w14:textId="77777777" w:rsidR="006A36D3" w:rsidRDefault="006A36D3" w:rsidP="001948E4">
      <w:pPr>
        <w:tabs>
          <w:tab w:val="left" w:pos="567"/>
        </w:tabs>
        <w:rPr>
          <w:rFonts w:cstheme="minorHAnsi"/>
          <w:b/>
          <w:bCs/>
          <w:sz w:val="24"/>
          <w:szCs w:val="24"/>
          <w:u w:val="single"/>
        </w:rPr>
      </w:pPr>
    </w:p>
    <w:p w14:paraId="5FF799C7" w14:textId="404A6F2E" w:rsidR="001948E4" w:rsidRPr="004B38D8" w:rsidRDefault="001948E4" w:rsidP="001948E4">
      <w:pPr>
        <w:tabs>
          <w:tab w:val="left" w:pos="567"/>
        </w:tabs>
        <w:rPr>
          <w:rFonts w:cstheme="minorHAnsi"/>
          <w:b/>
          <w:bCs/>
          <w:sz w:val="24"/>
          <w:szCs w:val="24"/>
          <w:u w:val="single"/>
        </w:rPr>
      </w:pPr>
      <w:r w:rsidRPr="004B38D8">
        <w:rPr>
          <w:rFonts w:cstheme="minorHAnsi"/>
          <w:b/>
          <w:bCs/>
          <w:sz w:val="24"/>
          <w:szCs w:val="24"/>
          <w:u w:val="single"/>
        </w:rPr>
        <w:t>EK-1:</w:t>
      </w:r>
    </w:p>
    <w:p w14:paraId="77DFA7F1" w14:textId="1A83D4A0" w:rsidR="001948E4" w:rsidRPr="004B38D8" w:rsidRDefault="001948E4" w:rsidP="001948E4">
      <w:pPr>
        <w:tabs>
          <w:tab w:val="left" w:pos="567"/>
        </w:tabs>
        <w:rPr>
          <w:rFonts w:cstheme="minorHAnsi"/>
          <w:b/>
          <w:bCs/>
          <w:sz w:val="24"/>
          <w:szCs w:val="24"/>
        </w:rPr>
      </w:pPr>
      <w:r w:rsidRPr="004B38D8">
        <w:rPr>
          <w:rFonts w:cstheme="minorHAnsi"/>
          <w:b/>
          <w:bCs/>
          <w:sz w:val="24"/>
          <w:szCs w:val="24"/>
        </w:rPr>
        <w:t xml:space="preserve">TÜRKİYE’DE FAALİYETTE OLAN </w:t>
      </w:r>
      <w:r w:rsidR="0050265E">
        <w:rPr>
          <w:rFonts w:cstheme="minorHAnsi"/>
          <w:b/>
          <w:bCs/>
          <w:sz w:val="24"/>
          <w:szCs w:val="24"/>
        </w:rPr>
        <w:t xml:space="preserve">TRANSİT </w:t>
      </w:r>
      <w:r w:rsidRPr="004B38D8">
        <w:rPr>
          <w:rFonts w:cstheme="minorHAnsi"/>
          <w:b/>
          <w:bCs/>
          <w:sz w:val="24"/>
          <w:szCs w:val="24"/>
        </w:rPr>
        <w:t>HAMPETROL BORU HATTI TERMİNALLERİNİN TOPLAM YÜK İSTATİSTİKLERE ETKİSİ</w:t>
      </w:r>
    </w:p>
    <w:p w14:paraId="606A0641" w14:textId="77777777" w:rsidR="000C7045" w:rsidRDefault="000C7045" w:rsidP="002B6338">
      <w:pPr>
        <w:spacing w:line="240" w:lineRule="auto"/>
        <w:contextualSpacing/>
        <w:rPr>
          <w:rFonts w:cstheme="minorHAnsi"/>
          <w:b/>
          <w:bCs/>
        </w:rPr>
      </w:pPr>
    </w:p>
    <w:p w14:paraId="4332A4BD" w14:textId="77777777" w:rsidR="000C7045" w:rsidRDefault="000C7045" w:rsidP="002B6338">
      <w:pPr>
        <w:spacing w:line="240" w:lineRule="auto"/>
        <w:contextualSpacing/>
        <w:rPr>
          <w:rFonts w:cstheme="minorHAnsi"/>
          <w:b/>
          <w:bCs/>
        </w:rPr>
      </w:pPr>
    </w:p>
    <w:p w14:paraId="19736928" w14:textId="77777777" w:rsidR="000C7045" w:rsidRDefault="000C7045" w:rsidP="002B6338">
      <w:pPr>
        <w:spacing w:line="240" w:lineRule="auto"/>
        <w:contextualSpacing/>
        <w:rPr>
          <w:rFonts w:cstheme="minorHAnsi"/>
          <w:b/>
          <w:bCs/>
        </w:rPr>
      </w:pPr>
    </w:p>
    <w:p w14:paraId="59D26E3D" w14:textId="77777777" w:rsidR="00F92BEF" w:rsidRDefault="00F92BEF" w:rsidP="002B6338">
      <w:pPr>
        <w:spacing w:line="240" w:lineRule="auto"/>
        <w:contextualSpacing/>
        <w:rPr>
          <w:rFonts w:cstheme="minorHAnsi"/>
          <w:b/>
          <w:bCs/>
        </w:rPr>
      </w:pPr>
    </w:p>
    <w:p w14:paraId="2C45D1FB" w14:textId="77777777" w:rsidR="00F92BEF" w:rsidRDefault="00F92BEF" w:rsidP="002B6338">
      <w:pPr>
        <w:spacing w:line="240" w:lineRule="auto"/>
        <w:contextualSpacing/>
        <w:rPr>
          <w:rFonts w:cstheme="minorHAnsi"/>
          <w:b/>
          <w:bCs/>
        </w:rPr>
      </w:pPr>
    </w:p>
    <w:p w14:paraId="3365374E" w14:textId="77777777" w:rsidR="00F92BEF" w:rsidRDefault="00F92BEF" w:rsidP="002B6338">
      <w:pPr>
        <w:spacing w:line="240" w:lineRule="auto"/>
        <w:contextualSpacing/>
        <w:rPr>
          <w:rFonts w:cstheme="minorHAnsi"/>
          <w:b/>
          <w:bCs/>
        </w:rPr>
      </w:pPr>
    </w:p>
    <w:p w14:paraId="35059B97" w14:textId="77777777" w:rsidR="00F92BEF" w:rsidRDefault="00F92BEF" w:rsidP="002B6338">
      <w:pPr>
        <w:spacing w:line="240" w:lineRule="auto"/>
        <w:contextualSpacing/>
        <w:rPr>
          <w:rFonts w:cstheme="minorHAnsi"/>
          <w:b/>
          <w:bCs/>
        </w:rPr>
      </w:pPr>
    </w:p>
    <w:p w14:paraId="21FA25FF" w14:textId="77777777" w:rsidR="00F92BEF" w:rsidRDefault="00F92BEF" w:rsidP="002B6338">
      <w:pPr>
        <w:spacing w:line="240" w:lineRule="auto"/>
        <w:contextualSpacing/>
        <w:rPr>
          <w:rFonts w:cstheme="minorHAnsi"/>
          <w:b/>
          <w:bCs/>
        </w:rPr>
      </w:pPr>
    </w:p>
    <w:p w14:paraId="057C45BD" w14:textId="77777777" w:rsidR="00F92BEF" w:rsidRDefault="00F92BEF" w:rsidP="002B6338">
      <w:pPr>
        <w:spacing w:line="240" w:lineRule="auto"/>
        <w:contextualSpacing/>
        <w:rPr>
          <w:rFonts w:cstheme="minorHAnsi"/>
          <w:b/>
          <w:bCs/>
        </w:rPr>
      </w:pPr>
    </w:p>
    <w:p w14:paraId="636AEF1F" w14:textId="77777777" w:rsidR="00F92BEF" w:rsidRDefault="00F92BEF" w:rsidP="002B6338">
      <w:pPr>
        <w:spacing w:line="240" w:lineRule="auto"/>
        <w:contextualSpacing/>
        <w:rPr>
          <w:rFonts w:cstheme="minorHAnsi"/>
          <w:b/>
          <w:bCs/>
        </w:rPr>
      </w:pPr>
    </w:p>
    <w:p w14:paraId="5718E6C0" w14:textId="77777777" w:rsidR="002B6338" w:rsidRDefault="002B6338" w:rsidP="002B6338">
      <w:pPr>
        <w:spacing w:line="240" w:lineRule="auto"/>
        <w:contextualSpacing/>
        <w:rPr>
          <w:rFonts w:cstheme="minorHAnsi"/>
          <w:b/>
          <w:bCs/>
        </w:rPr>
      </w:pPr>
    </w:p>
    <w:p w14:paraId="299D3977" w14:textId="77777777" w:rsidR="00025766" w:rsidRDefault="00025766" w:rsidP="002B6338">
      <w:pPr>
        <w:spacing w:line="240" w:lineRule="auto"/>
        <w:contextualSpacing/>
        <w:rPr>
          <w:rFonts w:cstheme="minorHAnsi"/>
          <w:b/>
          <w:bCs/>
        </w:rPr>
      </w:pPr>
    </w:p>
    <w:p w14:paraId="4911FF95" w14:textId="77777777" w:rsidR="00025766" w:rsidRDefault="00025766" w:rsidP="002B6338">
      <w:pPr>
        <w:spacing w:line="240" w:lineRule="auto"/>
        <w:contextualSpacing/>
        <w:rPr>
          <w:rFonts w:cstheme="minorHAnsi"/>
          <w:b/>
          <w:bCs/>
        </w:rPr>
      </w:pPr>
    </w:p>
    <w:p w14:paraId="1348A547" w14:textId="77777777" w:rsidR="00025766" w:rsidRDefault="00025766" w:rsidP="002B6338">
      <w:pPr>
        <w:spacing w:line="240" w:lineRule="auto"/>
        <w:contextualSpacing/>
        <w:rPr>
          <w:rFonts w:cstheme="minorHAnsi"/>
          <w:b/>
          <w:bCs/>
        </w:rPr>
      </w:pPr>
    </w:p>
    <w:p w14:paraId="31D784A2" w14:textId="77777777" w:rsidR="00025766" w:rsidRDefault="00025766" w:rsidP="002B6338">
      <w:pPr>
        <w:spacing w:line="240" w:lineRule="auto"/>
        <w:contextualSpacing/>
        <w:rPr>
          <w:rFonts w:cstheme="minorHAnsi"/>
          <w:b/>
          <w:bCs/>
        </w:rPr>
      </w:pPr>
    </w:p>
    <w:p w14:paraId="5B5B87A8" w14:textId="2B0A4D69" w:rsidR="00792322" w:rsidRPr="00025766" w:rsidRDefault="00F92BEF" w:rsidP="00792322">
      <w:pPr>
        <w:pStyle w:val="ListeParagraf"/>
        <w:numPr>
          <w:ilvl w:val="0"/>
          <w:numId w:val="1"/>
        </w:numPr>
        <w:tabs>
          <w:tab w:val="left" w:pos="567"/>
        </w:tabs>
        <w:ind w:left="0" w:firstLine="0"/>
        <w:jc w:val="both"/>
        <w:rPr>
          <w:rFonts w:cstheme="minorHAnsi"/>
          <w:b/>
          <w:bCs/>
          <w:sz w:val="40"/>
          <w:szCs w:val="40"/>
        </w:rPr>
      </w:pPr>
      <w:bookmarkStart w:id="0" w:name="_Hlk134634706"/>
      <w:r w:rsidRPr="00F6480B">
        <w:rPr>
          <w:rFonts w:cstheme="minorHAnsi"/>
          <w:b/>
          <w:bCs/>
          <w:sz w:val="40"/>
          <w:szCs w:val="40"/>
        </w:rPr>
        <w:t>TOPLAM YÜK DEĞERLENDİRMESİ</w:t>
      </w:r>
    </w:p>
    <w:bookmarkEnd w:id="0"/>
    <w:p w14:paraId="3538C901" w14:textId="3A919910" w:rsidR="00E636E4" w:rsidRPr="00903A7F" w:rsidRDefault="00792322" w:rsidP="00792322">
      <w:pPr>
        <w:pStyle w:val="ListeParagraf"/>
        <w:numPr>
          <w:ilvl w:val="1"/>
          <w:numId w:val="1"/>
        </w:numPr>
        <w:tabs>
          <w:tab w:val="left" w:pos="567"/>
        </w:tabs>
        <w:ind w:left="0" w:firstLine="0"/>
        <w:jc w:val="both"/>
        <w:rPr>
          <w:rFonts w:cstheme="minorHAnsi"/>
          <w:b/>
          <w:bCs/>
          <w:sz w:val="24"/>
          <w:szCs w:val="24"/>
        </w:rPr>
      </w:pPr>
      <w:r w:rsidRPr="00903A7F">
        <w:rPr>
          <w:rFonts w:cstheme="minorHAnsi"/>
          <w:b/>
          <w:bCs/>
          <w:sz w:val="24"/>
          <w:szCs w:val="24"/>
        </w:rPr>
        <w:t>Gümrük Rejimlerine Göre Toplam Yükte Tonaj Değişimi</w:t>
      </w:r>
    </w:p>
    <w:p w14:paraId="60C25532" w14:textId="5A54C016" w:rsidR="002B6338" w:rsidRPr="00903A7F" w:rsidRDefault="00A92BBC" w:rsidP="00792322">
      <w:pPr>
        <w:jc w:val="both"/>
        <w:rPr>
          <w:rFonts w:cstheme="minorHAnsi"/>
          <w:sz w:val="24"/>
          <w:szCs w:val="24"/>
        </w:rPr>
      </w:pPr>
      <w:r w:rsidRPr="00903A7F">
        <w:rPr>
          <w:rFonts w:cstheme="minorHAnsi"/>
          <w:sz w:val="24"/>
          <w:szCs w:val="24"/>
        </w:rPr>
        <w:t>Tablo-1’den de görüldüğü üzere l</w:t>
      </w:r>
      <w:r w:rsidR="002B6338" w:rsidRPr="00903A7F">
        <w:rPr>
          <w:rFonts w:cstheme="minorHAnsi"/>
          <w:sz w:val="24"/>
          <w:szCs w:val="24"/>
        </w:rPr>
        <w:t>imanlarımızda 202</w:t>
      </w:r>
      <w:r w:rsidR="00A522E5" w:rsidRPr="00903A7F">
        <w:rPr>
          <w:rFonts w:cstheme="minorHAnsi"/>
          <w:sz w:val="24"/>
          <w:szCs w:val="24"/>
        </w:rPr>
        <w:t>4</w:t>
      </w:r>
      <w:r w:rsidR="002B6338" w:rsidRPr="00903A7F">
        <w:rPr>
          <w:rFonts w:cstheme="minorHAnsi"/>
          <w:sz w:val="24"/>
          <w:szCs w:val="24"/>
        </w:rPr>
        <w:t xml:space="preserve"> yılının (Ocak-</w:t>
      </w:r>
      <w:r w:rsidR="0074468E" w:rsidRPr="00903A7F">
        <w:rPr>
          <w:rFonts w:cstheme="minorHAnsi"/>
          <w:sz w:val="24"/>
          <w:szCs w:val="24"/>
        </w:rPr>
        <w:t xml:space="preserve">Aralık) </w:t>
      </w:r>
      <w:r w:rsidR="002B6338" w:rsidRPr="00903A7F">
        <w:rPr>
          <w:rFonts w:cstheme="minorHAnsi"/>
          <w:sz w:val="24"/>
          <w:szCs w:val="24"/>
        </w:rPr>
        <w:t>elleçlenen tonajlar 202</w:t>
      </w:r>
      <w:r w:rsidR="0074468E" w:rsidRPr="00903A7F">
        <w:rPr>
          <w:rFonts w:cstheme="minorHAnsi"/>
          <w:sz w:val="24"/>
          <w:szCs w:val="24"/>
        </w:rPr>
        <w:t>3</w:t>
      </w:r>
      <w:r w:rsidR="002B6338" w:rsidRPr="00903A7F">
        <w:rPr>
          <w:rFonts w:cstheme="minorHAnsi"/>
          <w:sz w:val="24"/>
          <w:szCs w:val="24"/>
        </w:rPr>
        <w:t xml:space="preserve"> yılının aynı dönemi ile karşılaştırıldığında</w:t>
      </w:r>
      <w:r w:rsidR="00076459" w:rsidRPr="00903A7F">
        <w:rPr>
          <w:rFonts w:cstheme="minorHAnsi"/>
          <w:sz w:val="24"/>
          <w:szCs w:val="24"/>
        </w:rPr>
        <w:t>;</w:t>
      </w:r>
      <w:r w:rsidR="002B6338" w:rsidRPr="00903A7F">
        <w:rPr>
          <w:rFonts w:cstheme="minorHAnsi"/>
          <w:sz w:val="24"/>
          <w:szCs w:val="24"/>
        </w:rPr>
        <w:t xml:space="preserve"> </w:t>
      </w:r>
      <w:r w:rsidR="00076459" w:rsidRPr="00903A7F">
        <w:rPr>
          <w:rFonts w:cstheme="minorHAnsi"/>
          <w:b/>
          <w:bCs/>
          <w:i/>
          <w:iCs/>
          <w:sz w:val="24"/>
          <w:szCs w:val="24"/>
        </w:rPr>
        <w:t>Toplam Yükte</w:t>
      </w:r>
      <w:r w:rsidR="00076459" w:rsidRPr="00903A7F">
        <w:rPr>
          <w:rFonts w:cstheme="minorHAnsi"/>
          <w:sz w:val="24"/>
          <w:szCs w:val="24"/>
        </w:rPr>
        <w:t xml:space="preserve"> </w:t>
      </w:r>
      <w:r w:rsidR="002B6338" w:rsidRPr="00903A7F">
        <w:rPr>
          <w:rFonts w:cstheme="minorHAnsi"/>
          <w:sz w:val="24"/>
          <w:szCs w:val="24"/>
        </w:rPr>
        <w:t>1</w:t>
      </w:r>
      <w:r w:rsidR="0074468E" w:rsidRPr="00903A7F">
        <w:rPr>
          <w:rFonts w:cstheme="minorHAnsi"/>
          <w:sz w:val="24"/>
          <w:szCs w:val="24"/>
        </w:rPr>
        <w:t>0</w:t>
      </w:r>
      <w:r w:rsidR="002B6338" w:rsidRPr="00903A7F">
        <w:rPr>
          <w:rFonts w:cstheme="minorHAnsi"/>
          <w:sz w:val="24"/>
          <w:szCs w:val="24"/>
        </w:rPr>
        <w:t xml:space="preserve">,6 milyon ton </w:t>
      </w:r>
      <w:r w:rsidR="0074468E" w:rsidRPr="00903A7F">
        <w:rPr>
          <w:rFonts w:cstheme="minorHAnsi"/>
          <w:sz w:val="24"/>
          <w:szCs w:val="24"/>
        </w:rPr>
        <w:t xml:space="preserve">fazlasıyla </w:t>
      </w:r>
      <w:r w:rsidR="002B6338" w:rsidRPr="00903A7F">
        <w:rPr>
          <w:rFonts w:cstheme="minorHAnsi"/>
          <w:sz w:val="24"/>
          <w:szCs w:val="24"/>
        </w:rPr>
        <w:t xml:space="preserve">yaklaşık </w:t>
      </w:r>
      <w:r w:rsidR="00A522E5" w:rsidRPr="00903A7F">
        <w:rPr>
          <w:rFonts w:cstheme="minorHAnsi"/>
          <w:sz w:val="24"/>
          <w:szCs w:val="24"/>
        </w:rPr>
        <w:t>531,7</w:t>
      </w:r>
      <w:r w:rsidR="002B6338" w:rsidRPr="00903A7F">
        <w:rPr>
          <w:rFonts w:cstheme="minorHAnsi"/>
          <w:sz w:val="24"/>
          <w:szCs w:val="24"/>
        </w:rPr>
        <w:t xml:space="preserve"> milyon ton yük elleçlenmiş, böylelikle </w:t>
      </w:r>
      <w:r w:rsidR="00432351" w:rsidRPr="00903A7F">
        <w:rPr>
          <w:rFonts w:cstheme="minorHAnsi"/>
          <w:sz w:val="24"/>
          <w:szCs w:val="24"/>
        </w:rPr>
        <w:t xml:space="preserve">2024 yılında bir önceki yıla göre </w:t>
      </w:r>
      <w:r w:rsidR="002B6338" w:rsidRPr="00903A7F">
        <w:rPr>
          <w:rFonts w:cstheme="minorHAnsi"/>
          <w:sz w:val="24"/>
          <w:szCs w:val="24"/>
        </w:rPr>
        <w:t>%</w:t>
      </w:r>
      <w:r w:rsidR="00A522E5" w:rsidRPr="00903A7F">
        <w:rPr>
          <w:rFonts w:cstheme="minorHAnsi"/>
          <w:sz w:val="24"/>
          <w:szCs w:val="24"/>
        </w:rPr>
        <w:t>2</w:t>
      </w:r>
      <w:r w:rsidR="002B6338" w:rsidRPr="00903A7F">
        <w:rPr>
          <w:rFonts w:cstheme="minorHAnsi"/>
          <w:sz w:val="24"/>
          <w:szCs w:val="24"/>
        </w:rPr>
        <w:t xml:space="preserve"> oranında bir </w:t>
      </w:r>
      <w:r w:rsidR="00432351" w:rsidRPr="00903A7F">
        <w:rPr>
          <w:rFonts w:cstheme="minorHAnsi"/>
          <w:sz w:val="24"/>
          <w:szCs w:val="24"/>
        </w:rPr>
        <w:t xml:space="preserve">büyüme </w:t>
      </w:r>
      <w:r w:rsidR="002B6338" w:rsidRPr="00903A7F">
        <w:rPr>
          <w:rFonts w:cstheme="minorHAnsi"/>
          <w:sz w:val="24"/>
          <w:szCs w:val="24"/>
        </w:rPr>
        <w:t xml:space="preserve">yaşanmıştır. </w:t>
      </w:r>
      <w:r w:rsidR="00D03F08" w:rsidRPr="00903A7F">
        <w:rPr>
          <w:rFonts w:cstheme="minorHAnsi"/>
          <w:sz w:val="24"/>
          <w:szCs w:val="24"/>
        </w:rPr>
        <w:t xml:space="preserve">Gümrük rejimleri açısından toplam yüke </w:t>
      </w:r>
      <w:r w:rsidR="002B6338" w:rsidRPr="00903A7F">
        <w:rPr>
          <w:rFonts w:cstheme="minorHAnsi"/>
          <w:sz w:val="24"/>
          <w:szCs w:val="24"/>
        </w:rPr>
        <w:t xml:space="preserve">baktığımızda </w:t>
      </w:r>
      <w:r w:rsidR="00D03F08" w:rsidRPr="00903A7F">
        <w:rPr>
          <w:rFonts w:cstheme="minorHAnsi"/>
          <w:sz w:val="24"/>
          <w:szCs w:val="24"/>
        </w:rPr>
        <w:t>İhracat</w:t>
      </w:r>
      <w:r w:rsidR="00903A7F" w:rsidRPr="00903A7F">
        <w:rPr>
          <w:rFonts w:cstheme="minorHAnsi"/>
          <w:sz w:val="24"/>
          <w:szCs w:val="24"/>
        </w:rPr>
        <w:t>a</w:t>
      </w:r>
      <w:r w:rsidR="00D03F08" w:rsidRPr="00903A7F">
        <w:rPr>
          <w:rFonts w:cstheme="minorHAnsi"/>
          <w:sz w:val="24"/>
          <w:szCs w:val="24"/>
        </w:rPr>
        <w:t xml:space="preserve"> </w:t>
      </w:r>
      <w:r w:rsidR="000C7977" w:rsidRPr="00903A7F">
        <w:rPr>
          <w:rFonts w:cstheme="minorHAnsi"/>
          <w:sz w:val="24"/>
          <w:szCs w:val="24"/>
        </w:rPr>
        <w:t>konu yükler %5 oranında artarken</w:t>
      </w:r>
      <w:r w:rsidR="00AA11CD" w:rsidRPr="00903A7F">
        <w:rPr>
          <w:rFonts w:cstheme="minorHAnsi"/>
          <w:sz w:val="24"/>
          <w:szCs w:val="24"/>
        </w:rPr>
        <w:t>,</w:t>
      </w:r>
      <w:r w:rsidR="000C7977" w:rsidRPr="00903A7F">
        <w:rPr>
          <w:rFonts w:cstheme="minorHAnsi"/>
          <w:sz w:val="24"/>
          <w:szCs w:val="24"/>
        </w:rPr>
        <w:t xml:space="preserve"> İthalat</w:t>
      </w:r>
      <w:r w:rsidR="009E4DBE" w:rsidRPr="00903A7F">
        <w:rPr>
          <w:rFonts w:cstheme="minorHAnsi"/>
          <w:sz w:val="24"/>
          <w:szCs w:val="24"/>
        </w:rPr>
        <w:t>a konu yükler ise</w:t>
      </w:r>
      <w:r w:rsidR="000C7977" w:rsidRPr="00903A7F">
        <w:rPr>
          <w:rFonts w:cstheme="minorHAnsi"/>
          <w:sz w:val="24"/>
          <w:szCs w:val="24"/>
        </w:rPr>
        <w:t xml:space="preserve"> sadece %0,36 oranında artmıştır. </w:t>
      </w:r>
      <w:r w:rsidR="00F42012" w:rsidRPr="00903A7F">
        <w:rPr>
          <w:rFonts w:cstheme="minorHAnsi"/>
          <w:sz w:val="24"/>
          <w:szCs w:val="24"/>
        </w:rPr>
        <w:t>Transite konu yüklerde %3,49 artış yaşanırken</w:t>
      </w:r>
      <w:r w:rsidR="009E4DBE" w:rsidRPr="00903A7F">
        <w:rPr>
          <w:rFonts w:cstheme="minorHAnsi"/>
          <w:sz w:val="24"/>
          <w:szCs w:val="24"/>
        </w:rPr>
        <w:t>,</w:t>
      </w:r>
      <w:r w:rsidR="00F42012" w:rsidRPr="00903A7F">
        <w:rPr>
          <w:rFonts w:cstheme="minorHAnsi"/>
          <w:sz w:val="24"/>
          <w:szCs w:val="24"/>
        </w:rPr>
        <w:t xml:space="preserve"> Kabotaj</w:t>
      </w:r>
      <w:r w:rsidR="005934EF" w:rsidRPr="00903A7F">
        <w:rPr>
          <w:rFonts w:cstheme="minorHAnsi"/>
          <w:sz w:val="24"/>
          <w:szCs w:val="24"/>
        </w:rPr>
        <w:t xml:space="preserve">daki artış ise </w:t>
      </w:r>
      <w:r w:rsidR="00AA11CD" w:rsidRPr="00903A7F">
        <w:rPr>
          <w:rFonts w:cstheme="minorHAnsi"/>
          <w:sz w:val="24"/>
          <w:szCs w:val="24"/>
        </w:rPr>
        <w:t xml:space="preserve">sadece </w:t>
      </w:r>
      <w:r w:rsidR="005934EF" w:rsidRPr="00903A7F">
        <w:rPr>
          <w:rFonts w:cstheme="minorHAnsi"/>
          <w:sz w:val="24"/>
          <w:szCs w:val="24"/>
        </w:rPr>
        <w:t xml:space="preserve">%1 seviyesindedir. </w:t>
      </w:r>
      <w:r w:rsidR="002B6338" w:rsidRPr="00903A7F">
        <w:rPr>
          <w:rFonts w:cstheme="minorHAnsi"/>
          <w:sz w:val="24"/>
          <w:szCs w:val="24"/>
        </w:rPr>
        <w:t xml:space="preserve"> </w:t>
      </w:r>
    </w:p>
    <w:p w14:paraId="17EB4394" w14:textId="14B2DEB3" w:rsidR="00E265CE" w:rsidRPr="000E2721" w:rsidRDefault="00E265CE" w:rsidP="00E6237E">
      <w:pPr>
        <w:jc w:val="center"/>
        <w:rPr>
          <w:rFonts w:cstheme="minorHAnsi"/>
          <w:b/>
          <w:bCs/>
          <w:sz w:val="22"/>
          <w:szCs w:val="22"/>
        </w:rPr>
      </w:pPr>
      <w:r w:rsidRPr="000E2721">
        <w:rPr>
          <w:rFonts w:cstheme="minorHAnsi"/>
          <w:b/>
          <w:bCs/>
          <w:sz w:val="22"/>
          <w:szCs w:val="22"/>
          <w:u w:val="single"/>
        </w:rPr>
        <w:t>Tablo-1:</w:t>
      </w:r>
      <w:r w:rsidRPr="000E2721">
        <w:rPr>
          <w:rFonts w:cstheme="minorHAnsi"/>
          <w:sz w:val="22"/>
          <w:szCs w:val="22"/>
        </w:rPr>
        <w:t xml:space="preserve"> </w:t>
      </w:r>
      <w:bookmarkStart w:id="1" w:name="_Hlk189908672"/>
      <w:r w:rsidR="00232DFE" w:rsidRPr="000E2721">
        <w:rPr>
          <w:rFonts w:cstheme="minorHAnsi"/>
          <w:b/>
          <w:bCs/>
          <w:sz w:val="22"/>
          <w:szCs w:val="22"/>
        </w:rPr>
        <w:t xml:space="preserve">Gümrük Rejimlerine Göre </w:t>
      </w:r>
      <w:r w:rsidR="00410154" w:rsidRPr="000E2721">
        <w:rPr>
          <w:rFonts w:cstheme="minorHAnsi"/>
          <w:b/>
          <w:bCs/>
          <w:sz w:val="22"/>
          <w:szCs w:val="22"/>
        </w:rPr>
        <w:t xml:space="preserve">Toplam Yükte </w:t>
      </w:r>
      <w:r w:rsidR="00232DFE" w:rsidRPr="000E2721">
        <w:rPr>
          <w:rFonts w:cstheme="minorHAnsi"/>
          <w:b/>
          <w:bCs/>
          <w:sz w:val="22"/>
          <w:szCs w:val="22"/>
        </w:rPr>
        <w:t>Tonaj Değişimi</w:t>
      </w:r>
      <w:r w:rsidR="00972C79" w:rsidRPr="000E2721">
        <w:rPr>
          <w:rFonts w:cstheme="minorHAnsi"/>
          <w:b/>
          <w:bCs/>
          <w:sz w:val="22"/>
          <w:szCs w:val="22"/>
        </w:rPr>
        <w:t xml:space="preserve"> (2023-2024)</w:t>
      </w:r>
    </w:p>
    <w:tbl>
      <w:tblPr>
        <w:tblW w:w="80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673"/>
        <w:gridCol w:w="1330"/>
        <w:gridCol w:w="1330"/>
        <w:gridCol w:w="1213"/>
        <w:gridCol w:w="1213"/>
        <w:gridCol w:w="1330"/>
      </w:tblGrid>
      <w:tr w:rsidR="00232DFE" w:rsidRPr="002B6338" w14:paraId="577AECEE" w14:textId="77777777" w:rsidTr="0077248E">
        <w:trPr>
          <w:trHeight w:val="285"/>
          <w:jc w:val="center"/>
        </w:trPr>
        <w:tc>
          <w:tcPr>
            <w:tcW w:w="1673" w:type="dxa"/>
            <w:shd w:val="clear" w:color="000000" w:fill="F8CBAD"/>
            <w:noWrap/>
            <w:vAlign w:val="center"/>
            <w:hideMark/>
          </w:tcPr>
          <w:bookmarkEnd w:id="1"/>
          <w:p w14:paraId="66A81919"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Ocak-Aralık</w:t>
            </w:r>
          </w:p>
        </w:tc>
        <w:tc>
          <w:tcPr>
            <w:tcW w:w="1330" w:type="dxa"/>
            <w:shd w:val="clear" w:color="000000" w:fill="FFFF00"/>
            <w:noWrap/>
            <w:vAlign w:val="bottom"/>
            <w:hideMark/>
          </w:tcPr>
          <w:p w14:paraId="59D7D4CF"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İhracat</w:t>
            </w:r>
          </w:p>
        </w:tc>
        <w:tc>
          <w:tcPr>
            <w:tcW w:w="1330" w:type="dxa"/>
            <w:shd w:val="clear" w:color="000000" w:fill="FFFF00"/>
            <w:noWrap/>
            <w:vAlign w:val="bottom"/>
            <w:hideMark/>
          </w:tcPr>
          <w:p w14:paraId="480BE549"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İthalat</w:t>
            </w:r>
          </w:p>
        </w:tc>
        <w:tc>
          <w:tcPr>
            <w:tcW w:w="1213" w:type="dxa"/>
            <w:shd w:val="clear" w:color="000000" w:fill="FFFF00"/>
            <w:noWrap/>
            <w:vAlign w:val="bottom"/>
            <w:hideMark/>
          </w:tcPr>
          <w:p w14:paraId="0B68046E"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Kabotaj</w:t>
            </w:r>
          </w:p>
        </w:tc>
        <w:tc>
          <w:tcPr>
            <w:tcW w:w="1213" w:type="dxa"/>
            <w:shd w:val="clear" w:color="000000" w:fill="FFFF00"/>
            <w:noWrap/>
            <w:vAlign w:val="bottom"/>
            <w:hideMark/>
          </w:tcPr>
          <w:p w14:paraId="307E9A72"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Transit</w:t>
            </w:r>
          </w:p>
        </w:tc>
        <w:tc>
          <w:tcPr>
            <w:tcW w:w="1330" w:type="dxa"/>
            <w:shd w:val="clear" w:color="000000" w:fill="FFFF00"/>
            <w:noWrap/>
            <w:vAlign w:val="bottom"/>
            <w:hideMark/>
          </w:tcPr>
          <w:p w14:paraId="03F7E0E2"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Toplam</w:t>
            </w:r>
          </w:p>
        </w:tc>
      </w:tr>
      <w:tr w:rsidR="002B6338" w:rsidRPr="002B6338" w14:paraId="47C6C950" w14:textId="77777777" w:rsidTr="0077248E">
        <w:trPr>
          <w:trHeight w:val="285"/>
          <w:jc w:val="center"/>
        </w:trPr>
        <w:tc>
          <w:tcPr>
            <w:tcW w:w="1673" w:type="dxa"/>
            <w:shd w:val="clear" w:color="auto" w:fill="auto"/>
            <w:noWrap/>
            <w:vAlign w:val="center"/>
            <w:hideMark/>
          </w:tcPr>
          <w:p w14:paraId="21E05475"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2023</w:t>
            </w:r>
          </w:p>
        </w:tc>
        <w:tc>
          <w:tcPr>
            <w:tcW w:w="1330" w:type="dxa"/>
            <w:shd w:val="clear" w:color="auto" w:fill="auto"/>
            <w:noWrap/>
            <w:vAlign w:val="bottom"/>
            <w:hideMark/>
          </w:tcPr>
          <w:p w14:paraId="3614D8DB"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135.510.681</w:t>
            </w:r>
          </w:p>
        </w:tc>
        <w:tc>
          <w:tcPr>
            <w:tcW w:w="1330" w:type="dxa"/>
            <w:shd w:val="clear" w:color="auto" w:fill="auto"/>
            <w:noWrap/>
            <w:vAlign w:val="bottom"/>
            <w:hideMark/>
          </w:tcPr>
          <w:p w14:paraId="58D026EB"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256.206.627</w:t>
            </w:r>
          </w:p>
        </w:tc>
        <w:tc>
          <w:tcPr>
            <w:tcW w:w="1213" w:type="dxa"/>
            <w:shd w:val="clear" w:color="auto" w:fill="auto"/>
            <w:noWrap/>
            <w:vAlign w:val="bottom"/>
            <w:hideMark/>
          </w:tcPr>
          <w:p w14:paraId="4471EBA6"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62.627.093</w:t>
            </w:r>
          </w:p>
        </w:tc>
        <w:tc>
          <w:tcPr>
            <w:tcW w:w="1213" w:type="dxa"/>
            <w:shd w:val="clear" w:color="auto" w:fill="auto"/>
            <w:noWrap/>
            <w:vAlign w:val="bottom"/>
            <w:hideMark/>
          </w:tcPr>
          <w:p w14:paraId="616A16D2"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66.735.403</w:t>
            </w:r>
          </w:p>
        </w:tc>
        <w:tc>
          <w:tcPr>
            <w:tcW w:w="1330" w:type="dxa"/>
            <w:shd w:val="clear" w:color="auto" w:fill="auto"/>
            <w:noWrap/>
            <w:vAlign w:val="bottom"/>
            <w:hideMark/>
          </w:tcPr>
          <w:p w14:paraId="3DFA561F"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521.079.804</w:t>
            </w:r>
          </w:p>
        </w:tc>
      </w:tr>
      <w:tr w:rsidR="002B6338" w:rsidRPr="002B6338" w14:paraId="1393D102" w14:textId="77777777" w:rsidTr="0077248E">
        <w:trPr>
          <w:trHeight w:val="285"/>
          <w:jc w:val="center"/>
        </w:trPr>
        <w:tc>
          <w:tcPr>
            <w:tcW w:w="1673" w:type="dxa"/>
            <w:shd w:val="clear" w:color="auto" w:fill="auto"/>
            <w:noWrap/>
            <w:vAlign w:val="center"/>
            <w:hideMark/>
          </w:tcPr>
          <w:p w14:paraId="3025EB0A"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2024</w:t>
            </w:r>
          </w:p>
        </w:tc>
        <w:tc>
          <w:tcPr>
            <w:tcW w:w="1330" w:type="dxa"/>
            <w:shd w:val="clear" w:color="auto" w:fill="auto"/>
            <w:noWrap/>
            <w:vAlign w:val="bottom"/>
            <w:hideMark/>
          </w:tcPr>
          <w:p w14:paraId="39B6A477"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142.278.137</w:t>
            </w:r>
          </w:p>
        </w:tc>
        <w:tc>
          <w:tcPr>
            <w:tcW w:w="1330" w:type="dxa"/>
            <w:shd w:val="clear" w:color="auto" w:fill="auto"/>
            <w:noWrap/>
            <w:vAlign w:val="bottom"/>
            <w:hideMark/>
          </w:tcPr>
          <w:p w14:paraId="2ED04E29"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257.136.420</w:t>
            </w:r>
          </w:p>
        </w:tc>
        <w:tc>
          <w:tcPr>
            <w:tcW w:w="1213" w:type="dxa"/>
            <w:shd w:val="clear" w:color="auto" w:fill="auto"/>
            <w:noWrap/>
            <w:vAlign w:val="bottom"/>
            <w:hideMark/>
          </w:tcPr>
          <w:p w14:paraId="08534813"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63.258.440</w:t>
            </w:r>
          </w:p>
        </w:tc>
        <w:tc>
          <w:tcPr>
            <w:tcW w:w="1213" w:type="dxa"/>
            <w:shd w:val="clear" w:color="auto" w:fill="auto"/>
            <w:noWrap/>
            <w:vAlign w:val="bottom"/>
            <w:hideMark/>
          </w:tcPr>
          <w:p w14:paraId="7E00B7D2"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69.064.361</w:t>
            </w:r>
          </w:p>
        </w:tc>
        <w:tc>
          <w:tcPr>
            <w:tcW w:w="1330" w:type="dxa"/>
            <w:shd w:val="clear" w:color="auto" w:fill="auto"/>
            <w:noWrap/>
            <w:vAlign w:val="bottom"/>
            <w:hideMark/>
          </w:tcPr>
          <w:p w14:paraId="7C98F8F5"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531.737.358</w:t>
            </w:r>
          </w:p>
        </w:tc>
      </w:tr>
      <w:tr w:rsidR="002B6338" w:rsidRPr="002B6338" w14:paraId="2E0E7E10" w14:textId="77777777" w:rsidTr="0077248E">
        <w:trPr>
          <w:trHeight w:val="285"/>
          <w:jc w:val="center"/>
        </w:trPr>
        <w:tc>
          <w:tcPr>
            <w:tcW w:w="1673" w:type="dxa"/>
            <w:shd w:val="clear" w:color="auto" w:fill="auto"/>
            <w:noWrap/>
            <w:vAlign w:val="center"/>
            <w:hideMark/>
          </w:tcPr>
          <w:p w14:paraId="28C5F2E6"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Farklar</w:t>
            </w:r>
          </w:p>
        </w:tc>
        <w:tc>
          <w:tcPr>
            <w:tcW w:w="1330" w:type="dxa"/>
            <w:shd w:val="clear" w:color="auto" w:fill="auto"/>
            <w:noWrap/>
            <w:vAlign w:val="bottom"/>
            <w:hideMark/>
          </w:tcPr>
          <w:p w14:paraId="4D042BBC"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6.767.456</w:t>
            </w:r>
          </w:p>
        </w:tc>
        <w:tc>
          <w:tcPr>
            <w:tcW w:w="1330" w:type="dxa"/>
            <w:shd w:val="clear" w:color="auto" w:fill="auto"/>
            <w:noWrap/>
            <w:vAlign w:val="bottom"/>
            <w:hideMark/>
          </w:tcPr>
          <w:p w14:paraId="340E9E65"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929.793</w:t>
            </w:r>
          </w:p>
        </w:tc>
        <w:tc>
          <w:tcPr>
            <w:tcW w:w="1213" w:type="dxa"/>
            <w:shd w:val="clear" w:color="auto" w:fill="auto"/>
            <w:noWrap/>
            <w:vAlign w:val="bottom"/>
            <w:hideMark/>
          </w:tcPr>
          <w:p w14:paraId="2FDF4D07"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631.347</w:t>
            </w:r>
          </w:p>
        </w:tc>
        <w:tc>
          <w:tcPr>
            <w:tcW w:w="1213" w:type="dxa"/>
            <w:shd w:val="clear" w:color="auto" w:fill="auto"/>
            <w:noWrap/>
            <w:vAlign w:val="bottom"/>
            <w:hideMark/>
          </w:tcPr>
          <w:p w14:paraId="249AD232"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2.328.958</w:t>
            </w:r>
          </w:p>
        </w:tc>
        <w:tc>
          <w:tcPr>
            <w:tcW w:w="1330" w:type="dxa"/>
            <w:shd w:val="clear" w:color="auto" w:fill="auto"/>
            <w:noWrap/>
            <w:vAlign w:val="bottom"/>
            <w:hideMark/>
          </w:tcPr>
          <w:p w14:paraId="627E9B08"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10.657.554</w:t>
            </w:r>
          </w:p>
        </w:tc>
      </w:tr>
      <w:tr w:rsidR="00232DFE" w:rsidRPr="002B6338" w14:paraId="3326AF02" w14:textId="77777777" w:rsidTr="00164FFE">
        <w:trPr>
          <w:trHeight w:val="285"/>
          <w:jc w:val="center"/>
        </w:trPr>
        <w:tc>
          <w:tcPr>
            <w:tcW w:w="1673" w:type="dxa"/>
            <w:shd w:val="clear" w:color="auto" w:fill="FAE2D5" w:themeFill="accent2" w:themeFillTint="33"/>
            <w:noWrap/>
            <w:vAlign w:val="center"/>
            <w:hideMark/>
          </w:tcPr>
          <w:p w14:paraId="7D0704D3" w14:textId="77777777" w:rsidR="002B6338" w:rsidRPr="00903A7F" w:rsidRDefault="002B6338" w:rsidP="002B6338">
            <w:pPr>
              <w:spacing w:after="0" w:line="240" w:lineRule="auto"/>
              <w:jc w:val="center"/>
              <w:rPr>
                <w:rFonts w:eastAsia="Times New Roman" w:cs="Calibri"/>
                <w:b/>
                <w:bCs/>
                <w:color w:val="000000"/>
                <w:sz w:val="22"/>
                <w:szCs w:val="22"/>
                <w:lang w:eastAsia="tr-TR"/>
              </w:rPr>
            </w:pPr>
            <w:r w:rsidRPr="00903A7F">
              <w:rPr>
                <w:rFonts w:eastAsia="Times New Roman" w:cs="Calibri"/>
                <w:b/>
                <w:bCs/>
                <w:color w:val="000000"/>
                <w:sz w:val="22"/>
                <w:szCs w:val="22"/>
                <w:lang w:eastAsia="tr-TR"/>
              </w:rPr>
              <w:t>Büyüme Oranı</w:t>
            </w:r>
          </w:p>
        </w:tc>
        <w:tc>
          <w:tcPr>
            <w:tcW w:w="1330" w:type="dxa"/>
            <w:shd w:val="clear" w:color="auto" w:fill="FAE2D5" w:themeFill="accent2" w:themeFillTint="33"/>
            <w:noWrap/>
            <w:vAlign w:val="bottom"/>
            <w:hideMark/>
          </w:tcPr>
          <w:p w14:paraId="11510AC4"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4,99%</w:t>
            </w:r>
          </w:p>
        </w:tc>
        <w:tc>
          <w:tcPr>
            <w:tcW w:w="1330" w:type="dxa"/>
            <w:shd w:val="clear" w:color="auto" w:fill="FAE2D5" w:themeFill="accent2" w:themeFillTint="33"/>
            <w:noWrap/>
            <w:vAlign w:val="bottom"/>
            <w:hideMark/>
          </w:tcPr>
          <w:p w14:paraId="6D16BB45"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0,36%</w:t>
            </w:r>
          </w:p>
        </w:tc>
        <w:tc>
          <w:tcPr>
            <w:tcW w:w="1213" w:type="dxa"/>
            <w:shd w:val="clear" w:color="auto" w:fill="FAE2D5" w:themeFill="accent2" w:themeFillTint="33"/>
            <w:noWrap/>
            <w:vAlign w:val="bottom"/>
            <w:hideMark/>
          </w:tcPr>
          <w:p w14:paraId="1C1B3D81"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1,01%</w:t>
            </w:r>
          </w:p>
        </w:tc>
        <w:tc>
          <w:tcPr>
            <w:tcW w:w="1213" w:type="dxa"/>
            <w:shd w:val="clear" w:color="auto" w:fill="FAE2D5" w:themeFill="accent2" w:themeFillTint="33"/>
            <w:noWrap/>
            <w:vAlign w:val="bottom"/>
            <w:hideMark/>
          </w:tcPr>
          <w:p w14:paraId="5C134605"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3,49%</w:t>
            </w:r>
          </w:p>
        </w:tc>
        <w:tc>
          <w:tcPr>
            <w:tcW w:w="1330" w:type="dxa"/>
            <w:shd w:val="clear" w:color="auto" w:fill="FAE2D5" w:themeFill="accent2" w:themeFillTint="33"/>
            <w:noWrap/>
            <w:vAlign w:val="bottom"/>
            <w:hideMark/>
          </w:tcPr>
          <w:p w14:paraId="6A720495" w14:textId="77777777" w:rsidR="002B6338" w:rsidRPr="00903A7F" w:rsidRDefault="002B6338" w:rsidP="002B6338">
            <w:pPr>
              <w:spacing w:after="0" w:line="240" w:lineRule="auto"/>
              <w:jc w:val="right"/>
              <w:rPr>
                <w:rFonts w:eastAsia="Times New Roman" w:cs="Calibri"/>
                <w:b/>
                <w:bCs/>
                <w:color w:val="000000"/>
                <w:sz w:val="22"/>
                <w:szCs w:val="22"/>
                <w:lang w:eastAsia="tr-TR"/>
              </w:rPr>
            </w:pPr>
            <w:r w:rsidRPr="00903A7F">
              <w:rPr>
                <w:rFonts w:eastAsia="Times New Roman" w:cs="Calibri"/>
                <w:b/>
                <w:bCs/>
                <w:color w:val="000000"/>
                <w:sz w:val="22"/>
                <w:szCs w:val="22"/>
                <w:lang w:eastAsia="tr-TR"/>
              </w:rPr>
              <w:t>2,05%</w:t>
            </w:r>
          </w:p>
        </w:tc>
      </w:tr>
    </w:tbl>
    <w:p w14:paraId="75A35235" w14:textId="77777777" w:rsidR="005C49F7" w:rsidRDefault="005C49F7" w:rsidP="002B6338">
      <w:pPr>
        <w:jc w:val="both"/>
        <w:rPr>
          <w:rFonts w:cstheme="minorHAnsi"/>
        </w:rPr>
      </w:pPr>
    </w:p>
    <w:p w14:paraId="499EA10A" w14:textId="63676DF0" w:rsidR="00972C79" w:rsidRPr="000E2721" w:rsidRDefault="00972C79" w:rsidP="00E6237E">
      <w:pPr>
        <w:jc w:val="center"/>
        <w:rPr>
          <w:rFonts w:cstheme="minorHAnsi"/>
          <w:sz w:val="22"/>
          <w:szCs w:val="22"/>
        </w:rPr>
      </w:pPr>
      <w:bookmarkStart w:id="2" w:name="_Hlk190082380"/>
      <w:r w:rsidRPr="000E2721">
        <w:rPr>
          <w:rFonts w:cstheme="minorHAnsi"/>
          <w:b/>
          <w:bCs/>
          <w:sz w:val="22"/>
          <w:szCs w:val="22"/>
          <w:u w:val="single"/>
        </w:rPr>
        <w:t>Tablo-2:</w:t>
      </w:r>
      <w:r w:rsidRPr="000E2721">
        <w:rPr>
          <w:rFonts w:cstheme="minorHAnsi"/>
          <w:sz w:val="22"/>
          <w:szCs w:val="22"/>
        </w:rPr>
        <w:t xml:space="preserve"> </w:t>
      </w:r>
      <w:r w:rsidRPr="000E2721">
        <w:rPr>
          <w:rFonts w:cstheme="minorHAnsi"/>
          <w:b/>
          <w:bCs/>
          <w:sz w:val="22"/>
          <w:szCs w:val="22"/>
        </w:rPr>
        <w:t>Gümrük Rejimlerine Göre Toplam Yükte Tonaj Değişimi (2022-2023)</w:t>
      </w:r>
    </w:p>
    <w:tbl>
      <w:tblPr>
        <w:tblW w:w="80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561"/>
        <w:gridCol w:w="1548"/>
        <w:gridCol w:w="1262"/>
        <w:gridCol w:w="1220"/>
        <w:gridCol w:w="1220"/>
        <w:gridCol w:w="1340"/>
      </w:tblGrid>
      <w:tr w:rsidR="00D60D2C" w:rsidRPr="00903A7F" w14:paraId="6845C845" w14:textId="77777777" w:rsidTr="0077248E">
        <w:trPr>
          <w:trHeight w:val="285"/>
          <w:jc w:val="center"/>
        </w:trPr>
        <w:tc>
          <w:tcPr>
            <w:tcW w:w="1561" w:type="dxa"/>
            <w:shd w:val="clear" w:color="000000" w:fill="F8CBAD"/>
            <w:noWrap/>
            <w:vAlign w:val="center"/>
            <w:hideMark/>
          </w:tcPr>
          <w:bookmarkEnd w:id="2"/>
          <w:p w14:paraId="0AFC9188"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Ocak-Aralık</w:t>
            </w:r>
          </w:p>
        </w:tc>
        <w:tc>
          <w:tcPr>
            <w:tcW w:w="1548" w:type="dxa"/>
            <w:shd w:val="clear" w:color="000000" w:fill="FFFF00"/>
            <w:noWrap/>
            <w:vAlign w:val="bottom"/>
            <w:hideMark/>
          </w:tcPr>
          <w:p w14:paraId="1667BC0A"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İhracat</w:t>
            </w:r>
          </w:p>
        </w:tc>
        <w:tc>
          <w:tcPr>
            <w:tcW w:w="1132" w:type="dxa"/>
            <w:shd w:val="clear" w:color="000000" w:fill="FFFF00"/>
            <w:noWrap/>
            <w:vAlign w:val="bottom"/>
            <w:hideMark/>
          </w:tcPr>
          <w:p w14:paraId="24A596DD"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İthalat</w:t>
            </w:r>
          </w:p>
        </w:tc>
        <w:tc>
          <w:tcPr>
            <w:tcW w:w="1220" w:type="dxa"/>
            <w:shd w:val="clear" w:color="000000" w:fill="FFFF00"/>
            <w:noWrap/>
            <w:vAlign w:val="bottom"/>
            <w:hideMark/>
          </w:tcPr>
          <w:p w14:paraId="7F995DD8"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Kabotaj</w:t>
            </w:r>
          </w:p>
        </w:tc>
        <w:tc>
          <w:tcPr>
            <w:tcW w:w="1220" w:type="dxa"/>
            <w:shd w:val="clear" w:color="000000" w:fill="FFFF00"/>
            <w:noWrap/>
            <w:vAlign w:val="bottom"/>
            <w:hideMark/>
          </w:tcPr>
          <w:p w14:paraId="39B22533"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Transit</w:t>
            </w:r>
          </w:p>
        </w:tc>
        <w:tc>
          <w:tcPr>
            <w:tcW w:w="1340" w:type="dxa"/>
            <w:shd w:val="clear" w:color="000000" w:fill="FFFF00"/>
            <w:noWrap/>
            <w:vAlign w:val="bottom"/>
            <w:hideMark/>
          </w:tcPr>
          <w:p w14:paraId="0249E794"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Toplam</w:t>
            </w:r>
          </w:p>
        </w:tc>
      </w:tr>
      <w:tr w:rsidR="00D60D2C" w:rsidRPr="00903A7F" w14:paraId="1B6A31D7" w14:textId="77777777" w:rsidTr="0077248E">
        <w:trPr>
          <w:trHeight w:val="285"/>
          <w:jc w:val="center"/>
        </w:trPr>
        <w:tc>
          <w:tcPr>
            <w:tcW w:w="1561" w:type="dxa"/>
            <w:shd w:val="clear" w:color="auto" w:fill="auto"/>
            <w:noWrap/>
            <w:vAlign w:val="center"/>
            <w:hideMark/>
          </w:tcPr>
          <w:p w14:paraId="5820DF0D"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2022</w:t>
            </w:r>
          </w:p>
        </w:tc>
        <w:tc>
          <w:tcPr>
            <w:tcW w:w="1548" w:type="dxa"/>
            <w:shd w:val="clear" w:color="auto" w:fill="auto"/>
            <w:noWrap/>
            <w:vAlign w:val="bottom"/>
            <w:hideMark/>
          </w:tcPr>
          <w:p w14:paraId="0019DA5B"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150.172.902</w:t>
            </w:r>
          </w:p>
        </w:tc>
        <w:tc>
          <w:tcPr>
            <w:tcW w:w="1132" w:type="dxa"/>
            <w:shd w:val="clear" w:color="auto" w:fill="auto"/>
            <w:noWrap/>
            <w:vAlign w:val="bottom"/>
            <w:hideMark/>
          </w:tcPr>
          <w:p w14:paraId="7ADA865C"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243.917.119</w:t>
            </w:r>
          </w:p>
        </w:tc>
        <w:tc>
          <w:tcPr>
            <w:tcW w:w="1220" w:type="dxa"/>
            <w:shd w:val="clear" w:color="auto" w:fill="auto"/>
            <w:noWrap/>
            <w:vAlign w:val="bottom"/>
            <w:hideMark/>
          </w:tcPr>
          <w:p w14:paraId="2C616532"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67.501.276</w:t>
            </w:r>
          </w:p>
        </w:tc>
        <w:tc>
          <w:tcPr>
            <w:tcW w:w="1220" w:type="dxa"/>
            <w:shd w:val="clear" w:color="auto" w:fill="auto"/>
            <w:noWrap/>
            <w:vAlign w:val="bottom"/>
            <w:hideMark/>
          </w:tcPr>
          <w:p w14:paraId="2F73F453"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81.018.986</w:t>
            </w:r>
          </w:p>
        </w:tc>
        <w:tc>
          <w:tcPr>
            <w:tcW w:w="1340" w:type="dxa"/>
            <w:shd w:val="clear" w:color="auto" w:fill="auto"/>
            <w:noWrap/>
            <w:vAlign w:val="bottom"/>
            <w:hideMark/>
          </w:tcPr>
          <w:p w14:paraId="0E70E0BB"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542.610.283</w:t>
            </w:r>
          </w:p>
        </w:tc>
      </w:tr>
      <w:tr w:rsidR="00D60D2C" w:rsidRPr="00903A7F" w14:paraId="72F1DEF3" w14:textId="77777777" w:rsidTr="0077248E">
        <w:trPr>
          <w:trHeight w:val="285"/>
          <w:jc w:val="center"/>
        </w:trPr>
        <w:tc>
          <w:tcPr>
            <w:tcW w:w="1561" w:type="dxa"/>
            <w:shd w:val="clear" w:color="auto" w:fill="auto"/>
            <w:noWrap/>
            <w:vAlign w:val="center"/>
            <w:hideMark/>
          </w:tcPr>
          <w:p w14:paraId="5406B8A8"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2023</w:t>
            </w:r>
          </w:p>
        </w:tc>
        <w:tc>
          <w:tcPr>
            <w:tcW w:w="1548" w:type="dxa"/>
            <w:shd w:val="clear" w:color="auto" w:fill="auto"/>
            <w:noWrap/>
            <w:vAlign w:val="bottom"/>
            <w:hideMark/>
          </w:tcPr>
          <w:p w14:paraId="20E6DDAC"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135.510.681</w:t>
            </w:r>
          </w:p>
        </w:tc>
        <w:tc>
          <w:tcPr>
            <w:tcW w:w="1132" w:type="dxa"/>
            <w:shd w:val="clear" w:color="auto" w:fill="auto"/>
            <w:noWrap/>
            <w:vAlign w:val="bottom"/>
            <w:hideMark/>
          </w:tcPr>
          <w:p w14:paraId="53D2E4C0"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256.206.627</w:t>
            </w:r>
          </w:p>
        </w:tc>
        <w:tc>
          <w:tcPr>
            <w:tcW w:w="1220" w:type="dxa"/>
            <w:shd w:val="clear" w:color="auto" w:fill="auto"/>
            <w:noWrap/>
            <w:vAlign w:val="bottom"/>
            <w:hideMark/>
          </w:tcPr>
          <w:p w14:paraId="5C9E8EB6"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62.627.093</w:t>
            </w:r>
          </w:p>
        </w:tc>
        <w:tc>
          <w:tcPr>
            <w:tcW w:w="1220" w:type="dxa"/>
            <w:shd w:val="clear" w:color="auto" w:fill="auto"/>
            <w:noWrap/>
            <w:vAlign w:val="bottom"/>
            <w:hideMark/>
          </w:tcPr>
          <w:p w14:paraId="49D5CAB6"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66.735.403</w:t>
            </w:r>
          </w:p>
        </w:tc>
        <w:tc>
          <w:tcPr>
            <w:tcW w:w="1340" w:type="dxa"/>
            <w:shd w:val="clear" w:color="auto" w:fill="auto"/>
            <w:noWrap/>
            <w:vAlign w:val="bottom"/>
            <w:hideMark/>
          </w:tcPr>
          <w:p w14:paraId="29CE85DB"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521.079.804</w:t>
            </w:r>
          </w:p>
        </w:tc>
      </w:tr>
      <w:tr w:rsidR="00D60D2C" w:rsidRPr="00903A7F" w14:paraId="0B0327E7" w14:textId="77777777" w:rsidTr="0077248E">
        <w:trPr>
          <w:trHeight w:val="285"/>
          <w:jc w:val="center"/>
        </w:trPr>
        <w:tc>
          <w:tcPr>
            <w:tcW w:w="1561" w:type="dxa"/>
            <w:shd w:val="clear" w:color="auto" w:fill="auto"/>
            <w:noWrap/>
            <w:vAlign w:val="center"/>
            <w:hideMark/>
          </w:tcPr>
          <w:p w14:paraId="4402F98D"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Farklar</w:t>
            </w:r>
          </w:p>
        </w:tc>
        <w:tc>
          <w:tcPr>
            <w:tcW w:w="1548" w:type="dxa"/>
            <w:shd w:val="clear" w:color="auto" w:fill="auto"/>
            <w:noWrap/>
            <w:vAlign w:val="bottom"/>
            <w:hideMark/>
          </w:tcPr>
          <w:p w14:paraId="412C7801"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-14.662.221</w:t>
            </w:r>
          </w:p>
        </w:tc>
        <w:tc>
          <w:tcPr>
            <w:tcW w:w="1132" w:type="dxa"/>
            <w:shd w:val="clear" w:color="auto" w:fill="auto"/>
            <w:noWrap/>
            <w:vAlign w:val="bottom"/>
            <w:hideMark/>
          </w:tcPr>
          <w:p w14:paraId="620499C6"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12.289.508</w:t>
            </w:r>
          </w:p>
        </w:tc>
        <w:tc>
          <w:tcPr>
            <w:tcW w:w="1220" w:type="dxa"/>
            <w:shd w:val="clear" w:color="auto" w:fill="auto"/>
            <w:noWrap/>
            <w:vAlign w:val="bottom"/>
            <w:hideMark/>
          </w:tcPr>
          <w:p w14:paraId="658C31D8"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-4.874.183</w:t>
            </w:r>
          </w:p>
        </w:tc>
        <w:tc>
          <w:tcPr>
            <w:tcW w:w="1220" w:type="dxa"/>
            <w:shd w:val="clear" w:color="auto" w:fill="auto"/>
            <w:noWrap/>
            <w:vAlign w:val="bottom"/>
            <w:hideMark/>
          </w:tcPr>
          <w:p w14:paraId="4E612168"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-14.283.583</w:t>
            </w:r>
          </w:p>
        </w:tc>
        <w:tc>
          <w:tcPr>
            <w:tcW w:w="1340" w:type="dxa"/>
            <w:shd w:val="clear" w:color="auto" w:fill="auto"/>
            <w:noWrap/>
            <w:vAlign w:val="bottom"/>
            <w:hideMark/>
          </w:tcPr>
          <w:p w14:paraId="7F4B68DF"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-21.530.479</w:t>
            </w:r>
          </w:p>
        </w:tc>
      </w:tr>
      <w:tr w:rsidR="00D60D2C" w:rsidRPr="00903A7F" w14:paraId="62425AAD" w14:textId="77777777" w:rsidTr="00164FFE">
        <w:trPr>
          <w:trHeight w:val="285"/>
          <w:jc w:val="center"/>
        </w:trPr>
        <w:tc>
          <w:tcPr>
            <w:tcW w:w="1561" w:type="dxa"/>
            <w:shd w:val="clear" w:color="auto" w:fill="FAE2D5" w:themeFill="accent2" w:themeFillTint="33"/>
            <w:noWrap/>
            <w:vAlign w:val="center"/>
            <w:hideMark/>
          </w:tcPr>
          <w:p w14:paraId="131E8A2F" w14:textId="77777777" w:rsidR="00D60D2C" w:rsidRPr="00903A7F" w:rsidRDefault="00D60D2C" w:rsidP="00D60D2C">
            <w:pPr>
              <w:spacing w:after="0" w:line="240" w:lineRule="auto"/>
              <w:jc w:val="center"/>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Büyüme Oranı</w:t>
            </w:r>
          </w:p>
        </w:tc>
        <w:tc>
          <w:tcPr>
            <w:tcW w:w="1548" w:type="dxa"/>
            <w:shd w:val="clear" w:color="auto" w:fill="FAE2D5" w:themeFill="accent2" w:themeFillTint="33"/>
            <w:noWrap/>
            <w:vAlign w:val="bottom"/>
            <w:hideMark/>
          </w:tcPr>
          <w:p w14:paraId="15A7E892" w14:textId="77777777" w:rsidR="00D60D2C" w:rsidRPr="00903A7F" w:rsidRDefault="00D60D2C" w:rsidP="00D60D2C">
            <w:pPr>
              <w:spacing w:after="0" w:line="240" w:lineRule="auto"/>
              <w:jc w:val="right"/>
              <w:rPr>
                <w:rFonts w:ascii="Calibri" w:eastAsia="Times New Roman" w:hAnsi="Calibri" w:cs="Calibri"/>
                <w:b/>
                <w:bCs/>
                <w:color w:val="FF0000"/>
                <w:sz w:val="22"/>
                <w:szCs w:val="22"/>
                <w:lang w:eastAsia="tr-TR"/>
              </w:rPr>
            </w:pPr>
            <w:r w:rsidRPr="00903A7F">
              <w:rPr>
                <w:rFonts w:ascii="Calibri" w:eastAsia="Times New Roman" w:hAnsi="Calibri" w:cs="Calibri"/>
                <w:b/>
                <w:bCs/>
                <w:color w:val="FF0000"/>
                <w:sz w:val="22"/>
                <w:szCs w:val="22"/>
                <w:lang w:eastAsia="tr-TR"/>
              </w:rPr>
              <w:t>-9,76%</w:t>
            </w:r>
          </w:p>
        </w:tc>
        <w:tc>
          <w:tcPr>
            <w:tcW w:w="1132" w:type="dxa"/>
            <w:shd w:val="clear" w:color="auto" w:fill="FAE2D5" w:themeFill="accent2" w:themeFillTint="33"/>
            <w:noWrap/>
            <w:vAlign w:val="bottom"/>
            <w:hideMark/>
          </w:tcPr>
          <w:p w14:paraId="6591E50E" w14:textId="77777777" w:rsidR="00D60D2C" w:rsidRPr="00903A7F" w:rsidRDefault="00D60D2C" w:rsidP="00D60D2C">
            <w:pPr>
              <w:spacing w:after="0" w:line="240" w:lineRule="auto"/>
              <w:jc w:val="right"/>
              <w:rPr>
                <w:rFonts w:ascii="Calibri" w:eastAsia="Times New Roman" w:hAnsi="Calibri" w:cs="Calibri"/>
                <w:b/>
                <w:bCs/>
                <w:color w:val="000000"/>
                <w:sz w:val="22"/>
                <w:szCs w:val="22"/>
                <w:lang w:eastAsia="tr-TR"/>
              </w:rPr>
            </w:pPr>
            <w:r w:rsidRPr="00903A7F">
              <w:rPr>
                <w:rFonts w:ascii="Calibri" w:eastAsia="Times New Roman" w:hAnsi="Calibri" w:cs="Calibri"/>
                <w:b/>
                <w:bCs/>
                <w:color w:val="000000"/>
                <w:sz w:val="22"/>
                <w:szCs w:val="22"/>
                <w:lang w:eastAsia="tr-TR"/>
              </w:rPr>
              <w:t>5,04%</w:t>
            </w:r>
          </w:p>
        </w:tc>
        <w:tc>
          <w:tcPr>
            <w:tcW w:w="1220" w:type="dxa"/>
            <w:shd w:val="clear" w:color="auto" w:fill="FAE2D5" w:themeFill="accent2" w:themeFillTint="33"/>
            <w:noWrap/>
            <w:vAlign w:val="bottom"/>
            <w:hideMark/>
          </w:tcPr>
          <w:p w14:paraId="290D36E2" w14:textId="77777777" w:rsidR="00D60D2C" w:rsidRPr="00903A7F" w:rsidRDefault="00D60D2C" w:rsidP="00D60D2C">
            <w:pPr>
              <w:spacing w:after="0" w:line="240" w:lineRule="auto"/>
              <w:jc w:val="right"/>
              <w:rPr>
                <w:rFonts w:ascii="Calibri" w:eastAsia="Times New Roman" w:hAnsi="Calibri" w:cs="Calibri"/>
                <w:b/>
                <w:bCs/>
                <w:color w:val="FF0000"/>
                <w:sz w:val="22"/>
                <w:szCs w:val="22"/>
                <w:lang w:eastAsia="tr-TR"/>
              </w:rPr>
            </w:pPr>
            <w:r w:rsidRPr="00903A7F">
              <w:rPr>
                <w:rFonts w:ascii="Calibri" w:eastAsia="Times New Roman" w:hAnsi="Calibri" w:cs="Calibri"/>
                <w:b/>
                <w:bCs/>
                <w:color w:val="FF0000"/>
                <w:sz w:val="22"/>
                <w:szCs w:val="22"/>
                <w:lang w:eastAsia="tr-TR"/>
              </w:rPr>
              <w:t>-7,22%</w:t>
            </w:r>
          </w:p>
        </w:tc>
        <w:tc>
          <w:tcPr>
            <w:tcW w:w="1220" w:type="dxa"/>
            <w:shd w:val="clear" w:color="auto" w:fill="FAE2D5" w:themeFill="accent2" w:themeFillTint="33"/>
            <w:noWrap/>
            <w:vAlign w:val="bottom"/>
            <w:hideMark/>
          </w:tcPr>
          <w:p w14:paraId="7AFF4C0C" w14:textId="77777777" w:rsidR="00D60D2C" w:rsidRPr="00903A7F" w:rsidRDefault="00D60D2C" w:rsidP="00D60D2C">
            <w:pPr>
              <w:spacing w:after="0" w:line="240" w:lineRule="auto"/>
              <w:jc w:val="right"/>
              <w:rPr>
                <w:rFonts w:ascii="Calibri" w:eastAsia="Times New Roman" w:hAnsi="Calibri" w:cs="Calibri"/>
                <w:b/>
                <w:bCs/>
                <w:color w:val="FF0000"/>
                <w:sz w:val="22"/>
                <w:szCs w:val="22"/>
                <w:lang w:eastAsia="tr-TR"/>
              </w:rPr>
            </w:pPr>
            <w:r w:rsidRPr="00903A7F">
              <w:rPr>
                <w:rFonts w:ascii="Calibri" w:eastAsia="Times New Roman" w:hAnsi="Calibri" w:cs="Calibri"/>
                <w:b/>
                <w:bCs/>
                <w:color w:val="FF0000"/>
                <w:sz w:val="22"/>
                <w:szCs w:val="22"/>
                <w:lang w:eastAsia="tr-TR"/>
              </w:rPr>
              <w:t>-17,63%</w:t>
            </w:r>
          </w:p>
        </w:tc>
        <w:tc>
          <w:tcPr>
            <w:tcW w:w="1340" w:type="dxa"/>
            <w:shd w:val="clear" w:color="auto" w:fill="FAE2D5" w:themeFill="accent2" w:themeFillTint="33"/>
            <w:noWrap/>
            <w:vAlign w:val="bottom"/>
            <w:hideMark/>
          </w:tcPr>
          <w:p w14:paraId="2F15614C" w14:textId="77777777" w:rsidR="00D60D2C" w:rsidRPr="00903A7F" w:rsidRDefault="00D60D2C" w:rsidP="00D60D2C">
            <w:pPr>
              <w:spacing w:after="0" w:line="240" w:lineRule="auto"/>
              <w:jc w:val="right"/>
              <w:rPr>
                <w:rFonts w:ascii="Calibri" w:eastAsia="Times New Roman" w:hAnsi="Calibri" w:cs="Calibri"/>
                <w:b/>
                <w:bCs/>
                <w:color w:val="FF0000"/>
                <w:sz w:val="22"/>
                <w:szCs w:val="22"/>
                <w:lang w:eastAsia="tr-TR"/>
              </w:rPr>
            </w:pPr>
            <w:r w:rsidRPr="00903A7F">
              <w:rPr>
                <w:rFonts w:ascii="Calibri" w:eastAsia="Times New Roman" w:hAnsi="Calibri" w:cs="Calibri"/>
                <w:b/>
                <w:bCs/>
                <w:color w:val="FF0000"/>
                <w:sz w:val="22"/>
                <w:szCs w:val="22"/>
                <w:lang w:eastAsia="tr-TR"/>
              </w:rPr>
              <w:t>-3,97%</w:t>
            </w:r>
          </w:p>
        </w:tc>
      </w:tr>
    </w:tbl>
    <w:p w14:paraId="5AEAFA4D" w14:textId="77777777" w:rsidR="00952735" w:rsidRPr="00903A7F" w:rsidRDefault="00952735" w:rsidP="002B6338">
      <w:pPr>
        <w:jc w:val="both"/>
        <w:rPr>
          <w:rFonts w:cstheme="minorHAnsi"/>
          <w:sz w:val="22"/>
          <w:szCs w:val="22"/>
        </w:rPr>
      </w:pPr>
    </w:p>
    <w:p w14:paraId="69CD338C" w14:textId="7C189B8D" w:rsidR="000E2721" w:rsidRPr="00903A7F" w:rsidRDefault="000E2721" w:rsidP="000E2721">
      <w:pPr>
        <w:jc w:val="both"/>
        <w:rPr>
          <w:rFonts w:cstheme="minorHAnsi"/>
          <w:sz w:val="24"/>
          <w:szCs w:val="24"/>
        </w:rPr>
      </w:pPr>
      <w:r w:rsidRPr="00903A7F">
        <w:rPr>
          <w:rFonts w:cstheme="minorHAnsi"/>
          <w:sz w:val="24"/>
          <w:szCs w:val="24"/>
        </w:rPr>
        <w:t xml:space="preserve">Tablo-2’den de görüldüğü gibi 2023 yılında </w:t>
      </w:r>
      <w:r w:rsidR="001A0116">
        <w:rPr>
          <w:rFonts w:cstheme="minorHAnsi"/>
          <w:sz w:val="24"/>
          <w:szCs w:val="24"/>
        </w:rPr>
        <w:t xml:space="preserve">ise </w:t>
      </w:r>
      <w:r>
        <w:rPr>
          <w:rFonts w:cstheme="minorHAnsi"/>
          <w:sz w:val="24"/>
          <w:szCs w:val="24"/>
        </w:rPr>
        <w:t>T</w:t>
      </w:r>
      <w:r w:rsidRPr="00903A7F">
        <w:rPr>
          <w:rFonts w:cstheme="minorHAnsi"/>
          <w:sz w:val="24"/>
          <w:szCs w:val="24"/>
        </w:rPr>
        <w:t xml:space="preserve">oplam </w:t>
      </w:r>
      <w:r>
        <w:rPr>
          <w:rFonts w:cstheme="minorHAnsi"/>
          <w:sz w:val="24"/>
          <w:szCs w:val="24"/>
        </w:rPr>
        <w:t>Y</w:t>
      </w:r>
      <w:r w:rsidRPr="00903A7F">
        <w:rPr>
          <w:rFonts w:cstheme="minorHAnsi"/>
          <w:sz w:val="24"/>
          <w:szCs w:val="24"/>
        </w:rPr>
        <w:t>ükte bir önceki yıla göre İhracat yükleri %</w:t>
      </w:r>
      <w:r w:rsidR="00ED66FE">
        <w:rPr>
          <w:rFonts w:cstheme="minorHAnsi"/>
          <w:sz w:val="24"/>
          <w:szCs w:val="24"/>
        </w:rPr>
        <w:t xml:space="preserve">9,7 </w:t>
      </w:r>
      <w:r w:rsidRPr="00903A7F">
        <w:rPr>
          <w:rFonts w:cstheme="minorHAnsi"/>
          <w:sz w:val="24"/>
          <w:szCs w:val="24"/>
        </w:rPr>
        <w:t>oranda daralırken</w:t>
      </w:r>
      <w:r>
        <w:rPr>
          <w:rFonts w:cstheme="minorHAnsi"/>
          <w:sz w:val="24"/>
          <w:szCs w:val="24"/>
        </w:rPr>
        <w:t>,</w:t>
      </w:r>
      <w:r w:rsidRPr="00903A7F">
        <w:rPr>
          <w:rFonts w:cstheme="minorHAnsi"/>
          <w:sz w:val="24"/>
          <w:szCs w:val="24"/>
        </w:rPr>
        <w:t xml:space="preserve"> İthalata konu yükler ise %5 oranında artmıştır. Yine Kabotaj %7,2 ve Transit yükler ise %17,6 oranında daralmıştır. </w:t>
      </w:r>
      <w:r w:rsidR="00ED66FE">
        <w:rPr>
          <w:rFonts w:cstheme="minorHAnsi"/>
          <w:sz w:val="24"/>
          <w:szCs w:val="24"/>
        </w:rPr>
        <w:t>2023 yılı limanlarımız açısından Toplam yükte olumsuz bir yıl olmuştur.</w:t>
      </w:r>
      <w:r w:rsidRPr="00903A7F">
        <w:rPr>
          <w:rFonts w:cstheme="minorHAnsi"/>
          <w:sz w:val="24"/>
          <w:szCs w:val="24"/>
        </w:rPr>
        <w:t xml:space="preserve"> </w:t>
      </w:r>
    </w:p>
    <w:p w14:paraId="56D48BF0" w14:textId="7E815585" w:rsidR="00BA1938" w:rsidRDefault="00D6737A" w:rsidP="002B6338">
      <w:pPr>
        <w:jc w:val="both"/>
        <w:rPr>
          <w:rFonts w:cstheme="minorHAnsi"/>
          <w:sz w:val="24"/>
          <w:szCs w:val="24"/>
        </w:rPr>
      </w:pPr>
      <w:r w:rsidRPr="000E2721">
        <w:rPr>
          <w:rFonts w:cstheme="minorHAnsi"/>
          <w:sz w:val="24"/>
          <w:szCs w:val="24"/>
        </w:rPr>
        <w:t xml:space="preserve">Tablo-1 ve Tablo-2’yi karşılaştırdığımızda </w:t>
      </w:r>
      <w:r w:rsidR="001B2167" w:rsidRPr="000E2721">
        <w:rPr>
          <w:rFonts w:cstheme="minorHAnsi"/>
          <w:sz w:val="24"/>
          <w:szCs w:val="24"/>
        </w:rPr>
        <w:t xml:space="preserve">limanlarımızda 2023 yılına göre </w:t>
      </w:r>
      <w:r w:rsidRPr="000E2721">
        <w:rPr>
          <w:rFonts w:cstheme="minorHAnsi"/>
          <w:sz w:val="24"/>
          <w:szCs w:val="24"/>
        </w:rPr>
        <w:t>2024 yılı</w:t>
      </w:r>
      <w:r w:rsidR="001B2167" w:rsidRPr="000E2721">
        <w:rPr>
          <w:rFonts w:cstheme="minorHAnsi"/>
          <w:sz w:val="24"/>
          <w:szCs w:val="24"/>
        </w:rPr>
        <w:t xml:space="preserve">nda ortaya çıkan önemli bir gelişme </w:t>
      </w:r>
      <w:r w:rsidR="000E2721">
        <w:rPr>
          <w:rFonts w:cstheme="minorHAnsi"/>
          <w:sz w:val="24"/>
          <w:szCs w:val="24"/>
        </w:rPr>
        <w:t>de İ</w:t>
      </w:r>
      <w:r w:rsidR="008A3606" w:rsidRPr="000E2721">
        <w:rPr>
          <w:rFonts w:cstheme="minorHAnsi"/>
          <w:sz w:val="24"/>
          <w:szCs w:val="24"/>
        </w:rPr>
        <w:t xml:space="preserve">thalata </w:t>
      </w:r>
      <w:r w:rsidR="000E2721">
        <w:rPr>
          <w:rFonts w:cstheme="minorHAnsi"/>
          <w:sz w:val="24"/>
          <w:szCs w:val="24"/>
        </w:rPr>
        <w:t xml:space="preserve">konu </w:t>
      </w:r>
      <w:r w:rsidR="008A3606" w:rsidRPr="000E2721">
        <w:rPr>
          <w:rFonts w:cstheme="minorHAnsi"/>
          <w:sz w:val="24"/>
          <w:szCs w:val="24"/>
        </w:rPr>
        <w:t>yüklerin azalmasına karşın ihracata konu yüklerin art</w:t>
      </w:r>
      <w:r w:rsidR="000E2721">
        <w:rPr>
          <w:rFonts w:cstheme="minorHAnsi"/>
          <w:sz w:val="24"/>
          <w:szCs w:val="24"/>
        </w:rPr>
        <w:t xml:space="preserve">mış olmasıdır. </w:t>
      </w:r>
      <w:r w:rsidR="0078030E" w:rsidRPr="000E2721">
        <w:rPr>
          <w:rFonts w:cstheme="minorHAnsi"/>
          <w:sz w:val="24"/>
          <w:szCs w:val="24"/>
        </w:rPr>
        <w:t>Tü</w:t>
      </w:r>
      <w:r w:rsidR="007C1D37" w:rsidRPr="000E2721">
        <w:rPr>
          <w:rFonts w:cstheme="minorHAnsi"/>
          <w:sz w:val="24"/>
          <w:szCs w:val="24"/>
        </w:rPr>
        <w:t>rkiye’nin ihracatın</w:t>
      </w:r>
      <w:r w:rsidR="00DD2728" w:rsidRPr="000E2721">
        <w:rPr>
          <w:rFonts w:cstheme="minorHAnsi"/>
          <w:sz w:val="24"/>
          <w:szCs w:val="24"/>
        </w:rPr>
        <w:t>da imalat sanayinin oranı %90’ın üstünde</w:t>
      </w:r>
      <w:r w:rsidR="000803C1" w:rsidRPr="000E2721">
        <w:rPr>
          <w:rFonts w:cstheme="minorHAnsi"/>
          <w:sz w:val="24"/>
          <w:szCs w:val="24"/>
        </w:rPr>
        <w:t>dir. İ</w:t>
      </w:r>
      <w:r w:rsidR="00DD2728" w:rsidRPr="000E2721">
        <w:rPr>
          <w:rFonts w:cstheme="minorHAnsi"/>
          <w:sz w:val="24"/>
          <w:szCs w:val="24"/>
        </w:rPr>
        <w:t xml:space="preserve">malat sanayinin </w:t>
      </w:r>
      <w:r w:rsidR="009D4A6E" w:rsidRPr="000E2721">
        <w:rPr>
          <w:rFonts w:cstheme="minorHAnsi"/>
          <w:sz w:val="24"/>
          <w:szCs w:val="24"/>
        </w:rPr>
        <w:t>ihracat</w:t>
      </w:r>
      <w:r w:rsidR="00B0118C">
        <w:rPr>
          <w:rFonts w:cstheme="minorHAnsi"/>
          <w:sz w:val="24"/>
          <w:szCs w:val="24"/>
        </w:rPr>
        <w:t xml:space="preserve">ı </w:t>
      </w:r>
      <w:r w:rsidR="00935AA5" w:rsidRPr="000E2721">
        <w:rPr>
          <w:rFonts w:cstheme="minorHAnsi"/>
          <w:sz w:val="24"/>
          <w:szCs w:val="24"/>
        </w:rPr>
        <w:t xml:space="preserve">daha büyük oranda </w:t>
      </w:r>
      <w:r w:rsidR="00397773" w:rsidRPr="000E2721">
        <w:rPr>
          <w:rFonts w:cstheme="minorHAnsi"/>
          <w:sz w:val="24"/>
          <w:szCs w:val="24"/>
        </w:rPr>
        <w:t xml:space="preserve">ithal </w:t>
      </w:r>
      <w:r w:rsidR="000803C1" w:rsidRPr="000E2721">
        <w:rPr>
          <w:rFonts w:cstheme="minorHAnsi"/>
          <w:sz w:val="24"/>
          <w:szCs w:val="24"/>
        </w:rPr>
        <w:t>hammadde veya yarı mamul</w:t>
      </w:r>
      <w:r w:rsidR="00935AA5" w:rsidRPr="000E2721">
        <w:rPr>
          <w:rFonts w:cstheme="minorHAnsi"/>
          <w:sz w:val="24"/>
          <w:szCs w:val="24"/>
        </w:rPr>
        <w:t xml:space="preserve"> ihtiyacı</w:t>
      </w:r>
      <w:r w:rsidR="00B0118C">
        <w:rPr>
          <w:rFonts w:cstheme="minorHAnsi"/>
          <w:sz w:val="24"/>
          <w:szCs w:val="24"/>
        </w:rPr>
        <w:t xml:space="preserve">nı ortaya çıkarmakta, bu da ithalatı artırmaktadır. </w:t>
      </w:r>
      <w:r w:rsidR="00970502">
        <w:rPr>
          <w:rFonts w:cstheme="minorHAnsi"/>
          <w:sz w:val="24"/>
          <w:szCs w:val="24"/>
        </w:rPr>
        <w:t xml:space="preserve">Buna ilave olarak dış ticarette başka hampetrol, akaryakıt ürünleri ve LNG olmak üzere ithal enerjiye olan bağımlılık ta her yıl yükselmektedir. </w:t>
      </w:r>
      <w:r w:rsidR="00935AA5" w:rsidRPr="000E2721">
        <w:rPr>
          <w:rFonts w:cstheme="minorHAnsi"/>
          <w:sz w:val="24"/>
          <w:szCs w:val="24"/>
        </w:rPr>
        <w:t>Bu açıdan bakıldığında Türkiye’</w:t>
      </w:r>
      <w:r w:rsidR="00970502">
        <w:rPr>
          <w:rFonts w:cstheme="minorHAnsi"/>
          <w:sz w:val="24"/>
          <w:szCs w:val="24"/>
        </w:rPr>
        <w:t xml:space="preserve">nin </w:t>
      </w:r>
      <w:r w:rsidR="007E30A1" w:rsidRPr="000E2721">
        <w:rPr>
          <w:rFonts w:cstheme="minorHAnsi"/>
          <w:sz w:val="24"/>
          <w:szCs w:val="24"/>
        </w:rPr>
        <w:t>denizyoluyla yapılan dış ticaret</w:t>
      </w:r>
      <w:r w:rsidR="00970502">
        <w:rPr>
          <w:rFonts w:cstheme="minorHAnsi"/>
          <w:sz w:val="24"/>
          <w:szCs w:val="24"/>
        </w:rPr>
        <w:t xml:space="preserve">inde </w:t>
      </w:r>
      <w:r w:rsidR="0054194D">
        <w:rPr>
          <w:rFonts w:cstheme="minorHAnsi"/>
          <w:sz w:val="24"/>
          <w:szCs w:val="24"/>
        </w:rPr>
        <w:t>İ</w:t>
      </w:r>
      <w:r w:rsidR="00935AA5" w:rsidRPr="000E2721">
        <w:rPr>
          <w:rFonts w:cstheme="minorHAnsi"/>
          <w:sz w:val="24"/>
          <w:szCs w:val="24"/>
        </w:rPr>
        <w:t>thalat</w:t>
      </w:r>
      <w:r w:rsidR="00970502">
        <w:rPr>
          <w:rFonts w:cstheme="minorHAnsi"/>
          <w:sz w:val="24"/>
          <w:szCs w:val="24"/>
        </w:rPr>
        <w:t xml:space="preserve">a konu yükler </w:t>
      </w:r>
      <w:r w:rsidR="00935AA5" w:rsidRPr="000E2721">
        <w:rPr>
          <w:rFonts w:cstheme="minorHAnsi"/>
          <w:sz w:val="24"/>
          <w:szCs w:val="24"/>
        </w:rPr>
        <w:t xml:space="preserve">ya </w:t>
      </w:r>
      <w:r w:rsidR="00935AA5" w:rsidRPr="000E2721">
        <w:rPr>
          <w:rFonts w:cstheme="minorHAnsi"/>
          <w:sz w:val="24"/>
          <w:szCs w:val="24"/>
        </w:rPr>
        <w:lastRenderedPageBreak/>
        <w:t xml:space="preserve">da </w:t>
      </w:r>
      <w:r w:rsidR="00970502">
        <w:rPr>
          <w:rFonts w:cstheme="minorHAnsi"/>
          <w:sz w:val="24"/>
          <w:szCs w:val="24"/>
        </w:rPr>
        <w:t xml:space="preserve">gemilerden </w:t>
      </w:r>
      <w:r w:rsidR="00935AA5" w:rsidRPr="000E2721">
        <w:rPr>
          <w:rFonts w:cstheme="minorHAnsi"/>
          <w:sz w:val="24"/>
          <w:szCs w:val="24"/>
        </w:rPr>
        <w:t>tahliye edilen yükler ihracat</w:t>
      </w:r>
      <w:r w:rsidR="00970502">
        <w:rPr>
          <w:rFonts w:cstheme="minorHAnsi"/>
          <w:sz w:val="24"/>
          <w:szCs w:val="24"/>
        </w:rPr>
        <w:t>a konu</w:t>
      </w:r>
      <w:r w:rsidR="00935AA5" w:rsidRPr="000E2721">
        <w:rPr>
          <w:rFonts w:cstheme="minorHAnsi"/>
          <w:sz w:val="24"/>
          <w:szCs w:val="24"/>
        </w:rPr>
        <w:t xml:space="preserve"> </w:t>
      </w:r>
      <w:r w:rsidR="007E30A1" w:rsidRPr="000E2721">
        <w:rPr>
          <w:rFonts w:cstheme="minorHAnsi"/>
          <w:sz w:val="24"/>
          <w:szCs w:val="24"/>
        </w:rPr>
        <w:t xml:space="preserve">yüklerden </w:t>
      </w:r>
      <w:r w:rsidR="0054194D">
        <w:rPr>
          <w:rFonts w:cstheme="minorHAnsi"/>
          <w:sz w:val="24"/>
          <w:szCs w:val="24"/>
        </w:rPr>
        <w:t xml:space="preserve">ya da gemilere yüklenen yüklerden </w:t>
      </w:r>
      <w:r w:rsidR="00970502">
        <w:rPr>
          <w:rFonts w:cstheme="minorHAnsi"/>
          <w:sz w:val="24"/>
          <w:szCs w:val="24"/>
        </w:rPr>
        <w:t xml:space="preserve">her zaman </w:t>
      </w:r>
      <w:r w:rsidR="007E30A1" w:rsidRPr="000E2721">
        <w:rPr>
          <w:rFonts w:cstheme="minorHAnsi"/>
          <w:sz w:val="24"/>
          <w:szCs w:val="24"/>
        </w:rPr>
        <w:t xml:space="preserve">fazladır. </w:t>
      </w:r>
      <w:r w:rsidR="00970502">
        <w:rPr>
          <w:rFonts w:cstheme="minorHAnsi"/>
          <w:sz w:val="24"/>
          <w:szCs w:val="24"/>
        </w:rPr>
        <w:t xml:space="preserve">Kısaca limanlarımız Toplam Yükte çok büyük bir ağırlıkla tahliye </w:t>
      </w:r>
      <w:r w:rsidR="00BA1938">
        <w:rPr>
          <w:rFonts w:cstheme="minorHAnsi"/>
          <w:sz w:val="24"/>
          <w:szCs w:val="24"/>
        </w:rPr>
        <w:t xml:space="preserve">operasyonları yapan limanlar konumundadır. </w:t>
      </w:r>
      <w:r w:rsidR="002D4D6C">
        <w:rPr>
          <w:rFonts w:cstheme="minorHAnsi"/>
          <w:sz w:val="24"/>
          <w:szCs w:val="24"/>
        </w:rPr>
        <w:t xml:space="preserve">Genel olarak tahliye edilen yük </w:t>
      </w:r>
      <w:r w:rsidR="00FC3FC8">
        <w:rPr>
          <w:rFonts w:cstheme="minorHAnsi"/>
          <w:sz w:val="24"/>
          <w:szCs w:val="24"/>
        </w:rPr>
        <w:t xml:space="preserve">oranı %42-25 arasında değişirken yüklenen yük oranı ise </w:t>
      </w:r>
      <w:r w:rsidR="00785C86">
        <w:rPr>
          <w:rFonts w:cstheme="minorHAnsi"/>
          <w:sz w:val="24"/>
          <w:szCs w:val="24"/>
        </w:rPr>
        <w:t xml:space="preserve">%58-55 arasında değişmektedir. Bu değişimde Dökme Sıvı Yük içinde yer alan </w:t>
      </w:r>
      <w:r w:rsidR="005256A3">
        <w:rPr>
          <w:rFonts w:cstheme="minorHAnsi"/>
          <w:sz w:val="24"/>
          <w:szCs w:val="24"/>
        </w:rPr>
        <w:t xml:space="preserve">ve </w:t>
      </w:r>
      <w:r w:rsidR="00785C86" w:rsidRPr="00785C86">
        <w:rPr>
          <w:rFonts w:cstheme="minorHAnsi"/>
          <w:sz w:val="24"/>
          <w:szCs w:val="24"/>
        </w:rPr>
        <w:t>Ceyhan liman başkanlığı</w:t>
      </w:r>
      <w:r w:rsidR="005256A3">
        <w:rPr>
          <w:rFonts w:cstheme="minorHAnsi"/>
          <w:sz w:val="24"/>
          <w:szCs w:val="24"/>
        </w:rPr>
        <w:t xml:space="preserve"> içinde bulunan transit hampetrol </w:t>
      </w:r>
      <w:r w:rsidR="005256A3" w:rsidRPr="00785C86">
        <w:rPr>
          <w:rFonts w:cstheme="minorHAnsi"/>
          <w:sz w:val="24"/>
          <w:szCs w:val="24"/>
        </w:rPr>
        <w:t>boru hattı terminallerinde</w:t>
      </w:r>
      <w:r w:rsidR="005256A3">
        <w:rPr>
          <w:rFonts w:cstheme="minorHAnsi"/>
          <w:sz w:val="24"/>
          <w:szCs w:val="24"/>
        </w:rPr>
        <w:t>ki (</w:t>
      </w:r>
      <w:r w:rsidR="005256A3" w:rsidRPr="00785C86">
        <w:rPr>
          <w:rFonts w:cstheme="minorHAnsi"/>
          <w:sz w:val="24"/>
          <w:szCs w:val="24"/>
        </w:rPr>
        <w:t>BTC</w:t>
      </w:r>
      <w:r w:rsidR="00ED66FE">
        <w:rPr>
          <w:rFonts w:cstheme="minorHAnsi"/>
          <w:sz w:val="24"/>
          <w:szCs w:val="24"/>
        </w:rPr>
        <w:t>-</w:t>
      </w:r>
      <w:r w:rsidR="005256A3" w:rsidRPr="00785C86">
        <w:rPr>
          <w:rFonts w:cstheme="minorHAnsi"/>
          <w:sz w:val="24"/>
          <w:szCs w:val="24"/>
        </w:rPr>
        <w:t>Bakü-Tiflis-Ceyhan</w:t>
      </w:r>
      <w:r w:rsidR="00A97314">
        <w:rPr>
          <w:rFonts w:cstheme="minorHAnsi"/>
          <w:sz w:val="24"/>
          <w:szCs w:val="24"/>
        </w:rPr>
        <w:t xml:space="preserve"> </w:t>
      </w:r>
      <w:r w:rsidR="005256A3" w:rsidRPr="00785C86">
        <w:rPr>
          <w:rFonts w:cstheme="minorHAnsi"/>
          <w:sz w:val="24"/>
          <w:szCs w:val="24"/>
        </w:rPr>
        <w:t>ve BOTAŞ</w:t>
      </w:r>
      <w:r w:rsidR="00A97314">
        <w:rPr>
          <w:rFonts w:cstheme="minorHAnsi"/>
          <w:sz w:val="24"/>
          <w:szCs w:val="24"/>
        </w:rPr>
        <w:t xml:space="preserve"> Ceyhan</w:t>
      </w:r>
      <w:r w:rsidR="00ED66FE">
        <w:rPr>
          <w:rFonts w:cstheme="minorHAnsi"/>
          <w:sz w:val="24"/>
          <w:szCs w:val="24"/>
        </w:rPr>
        <w:t>-</w:t>
      </w:r>
      <w:r w:rsidR="005256A3" w:rsidRPr="00785C86">
        <w:rPr>
          <w:rFonts w:cstheme="minorHAnsi"/>
          <w:sz w:val="24"/>
          <w:szCs w:val="24"/>
        </w:rPr>
        <w:t xml:space="preserve">Kerkük-Yumurtalık </w:t>
      </w:r>
      <w:r w:rsidR="00A97314">
        <w:rPr>
          <w:rFonts w:cstheme="minorHAnsi"/>
          <w:sz w:val="24"/>
          <w:szCs w:val="24"/>
        </w:rPr>
        <w:t xml:space="preserve">tonaj değişimlerinin </w:t>
      </w:r>
      <w:r w:rsidR="00785C86" w:rsidRPr="00785C86">
        <w:rPr>
          <w:rFonts w:cstheme="minorHAnsi"/>
          <w:sz w:val="24"/>
          <w:szCs w:val="24"/>
        </w:rPr>
        <w:t>etkisi büyüktür.</w:t>
      </w:r>
      <w:r w:rsidR="00F7354F">
        <w:rPr>
          <w:rFonts w:cstheme="minorHAnsi"/>
          <w:sz w:val="24"/>
          <w:szCs w:val="24"/>
        </w:rPr>
        <w:t xml:space="preserve"> </w:t>
      </w:r>
    </w:p>
    <w:p w14:paraId="10404051" w14:textId="48C55ED9" w:rsidR="00166732" w:rsidRPr="000E2721" w:rsidRDefault="00F76E7C" w:rsidP="002B6338">
      <w:pPr>
        <w:jc w:val="both"/>
        <w:rPr>
          <w:rFonts w:cstheme="minorHAnsi"/>
          <w:sz w:val="24"/>
          <w:szCs w:val="24"/>
        </w:rPr>
      </w:pPr>
      <w:r w:rsidRPr="000E2721">
        <w:rPr>
          <w:rFonts w:cstheme="minorHAnsi"/>
          <w:sz w:val="24"/>
          <w:szCs w:val="24"/>
        </w:rPr>
        <w:t xml:space="preserve">Ticaret </w:t>
      </w:r>
      <w:r w:rsidR="006D666B" w:rsidRPr="000E2721">
        <w:rPr>
          <w:rFonts w:cstheme="minorHAnsi"/>
          <w:sz w:val="24"/>
          <w:szCs w:val="24"/>
        </w:rPr>
        <w:t>B</w:t>
      </w:r>
      <w:r w:rsidRPr="000E2721">
        <w:rPr>
          <w:rFonts w:cstheme="minorHAnsi"/>
          <w:sz w:val="24"/>
          <w:szCs w:val="24"/>
        </w:rPr>
        <w:t xml:space="preserve">akanlığı </w:t>
      </w:r>
      <w:r w:rsidR="006D666B" w:rsidRPr="000E2721">
        <w:rPr>
          <w:rFonts w:cstheme="minorHAnsi"/>
          <w:sz w:val="24"/>
          <w:szCs w:val="24"/>
        </w:rPr>
        <w:t xml:space="preserve">tarafından </w:t>
      </w:r>
      <w:r w:rsidR="0035738F" w:rsidRPr="000E2721">
        <w:rPr>
          <w:rFonts w:cstheme="minorHAnsi"/>
          <w:sz w:val="24"/>
          <w:szCs w:val="24"/>
        </w:rPr>
        <w:t xml:space="preserve">açıklanan dış ticaret verilerine baktığımızda </w:t>
      </w:r>
      <w:r w:rsidR="0047707A" w:rsidRPr="000E2721">
        <w:rPr>
          <w:rFonts w:cstheme="minorHAnsi"/>
          <w:sz w:val="24"/>
          <w:szCs w:val="24"/>
        </w:rPr>
        <w:t xml:space="preserve">2024 yılında </w:t>
      </w:r>
      <w:r w:rsidRPr="000E2721">
        <w:rPr>
          <w:rFonts w:cstheme="minorHAnsi"/>
          <w:sz w:val="24"/>
          <w:szCs w:val="24"/>
        </w:rPr>
        <w:t>İhracat</w:t>
      </w:r>
      <w:r w:rsidR="0047707A" w:rsidRPr="000E2721">
        <w:rPr>
          <w:rFonts w:cstheme="minorHAnsi"/>
          <w:sz w:val="24"/>
          <w:szCs w:val="24"/>
        </w:rPr>
        <w:t xml:space="preserve"> geçen yılın aynı dönemine göre</w:t>
      </w:r>
      <w:r w:rsidRPr="000E2721">
        <w:rPr>
          <w:rFonts w:cstheme="minorHAnsi"/>
          <w:sz w:val="24"/>
          <w:szCs w:val="24"/>
        </w:rPr>
        <w:t xml:space="preserve"> %2,5 oranında artarak 261 milyar 925 milyon </w:t>
      </w:r>
      <w:r w:rsidR="0035738F" w:rsidRPr="000E2721">
        <w:rPr>
          <w:rFonts w:cstheme="minorHAnsi"/>
          <w:sz w:val="24"/>
          <w:szCs w:val="24"/>
        </w:rPr>
        <w:t>USD</w:t>
      </w:r>
      <w:r w:rsidR="0047707A" w:rsidRPr="000E2721">
        <w:rPr>
          <w:rFonts w:cstheme="minorHAnsi"/>
          <w:sz w:val="24"/>
          <w:szCs w:val="24"/>
        </w:rPr>
        <w:t xml:space="preserve"> olurken</w:t>
      </w:r>
      <w:r w:rsidR="00645083" w:rsidRPr="000E2721">
        <w:rPr>
          <w:rFonts w:cstheme="minorHAnsi"/>
          <w:sz w:val="24"/>
          <w:szCs w:val="24"/>
        </w:rPr>
        <w:t xml:space="preserve">, </w:t>
      </w:r>
      <w:r w:rsidRPr="000E2721">
        <w:rPr>
          <w:rFonts w:cstheme="minorHAnsi"/>
          <w:sz w:val="24"/>
          <w:szCs w:val="24"/>
        </w:rPr>
        <w:t>İthalat</w:t>
      </w:r>
      <w:r w:rsidR="0035738F" w:rsidRPr="000E2721">
        <w:rPr>
          <w:rFonts w:cstheme="minorHAnsi"/>
          <w:sz w:val="24"/>
          <w:szCs w:val="24"/>
        </w:rPr>
        <w:t xml:space="preserve"> ise </w:t>
      </w:r>
      <w:r w:rsidRPr="000E2721">
        <w:rPr>
          <w:rFonts w:cstheme="minorHAnsi"/>
          <w:sz w:val="24"/>
          <w:szCs w:val="24"/>
        </w:rPr>
        <w:t xml:space="preserve">%4,9 oranında azalarak 344 milyar 85 milyon </w:t>
      </w:r>
      <w:r w:rsidR="0035738F" w:rsidRPr="000E2721">
        <w:rPr>
          <w:rFonts w:cstheme="minorHAnsi"/>
          <w:sz w:val="24"/>
          <w:szCs w:val="24"/>
        </w:rPr>
        <w:t>USD olarak gerçekleşmiştir.</w:t>
      </w:r>
      <w:r w:rsidR="0047707A" w:rsidRPr="000E2721">
        <w:rPr>
          <w:rFonts w:cstheme="minorHAnsi"/>
          <w:sz w:val="24"/>
          <w:szCs w:val="24"/>
        </w:rPr>
        <w:t xml:space="preserve"> Dış ticaret</w:t>
      </w:r>
      <w:r w:rsidR="00E920EA" w:rsidRPr="000E2721">
        <w:rPr>
          <w:rFonts w:cstheme="minorHAnsi"/>
          <w:sz w:val="24"/>
          <w:szCs w:val="24"/>
        </w:rPr>
        <w:t xml:space="preserve">te yaşanan bu durum limanlarımızdaki yük hareketini de etkilediğinden, dış ticaret içinde </w:t>
      </w:r>
      <w:r w:rsidR="00012781" w:rsidRPr="000E2721">
        <w:rPr>
          <w:rFonts w:cstheme="minorHAnsi"/>
          <w:sz w:val="24"/>
          <w:szCs w:val="24"/>
        </w:rPr>
        <w:t>denizyoluyla yapılan ihracat artarken</w:t>
      </w:r>
      <w:r w:rsidR="00E920EA" w:rsidRPr="000E2721">
        <w:rPr>
          <w:rFonts w:cstheme="minorHAnsi"/>
          <w:sz w:val="24"/>
          <w:szCs w:val="24"/>
        </w:rPr>
        <w:t>,</w:t>
      </w:r>
      <w:r w:rsidR="00012781" w:rsidRPr="000E2721">
        <w:rPr>
          <w:rFonts w:cstheme="minorHAnsi"/>
          <w:sz w:val="24"/>
          <w:szCs w:val="24"/>
        </w:rPr>
        <w:t xml:space="preserve"> ithalat ise </w:t>
      </w:r>
      <w:r w:rsidR="00E920EA" w:rsidRPr="000E2721">
        <w:rPr>
          <w:rFonts w:cstheme="minorHAnsi"/>
          <w:sz w:val="24"/>
          <w:szCs w:val="24"/>
        </w:rPr>
        <w:t xml:space="preserve">bir önceki yıla göre önemli ölçüde gerilemiştir. </w:t>
      </w:r>
    </w:p>
    <w:p w14:paraId="6D2C4BCF" w14:textId="35805011" w:rsidR="00CE6593" w:rsidRPr="000E2721" w:rsidRDefault="00166732" w:rsidP="00E6237E">
      <w:pPr>
        <w:jc w:val="center"/>
        <w:rPr>
          <w:rFonts w:cstheme="minorHAnsi"/>
          <w:b/>
          <w:bCs/>
          <w:sz w:val="22"/>
          <w:szCs w:val="22"/>
        </w:rPr>
      </w:pPr>
      <w:r w:rsidRPr="000E2721">
        <w:rPr>
          <w:rFonts w:cstheme="minorHAnsi"/>
          <w:b/>
          <w:bCs/>
          <w:sz w:val="22"/>
          <w:szCs w:val="22"/>
          <w:u w:val="single"/>
        </w:rPr>
        <w:t>Grafik-1:</w:t>
      </w:r>
      <w:r w:rsidRPr="000E2721">
        <w:rPr>
          <w:rFonts w:cstheme="minorHAnsi"/>
          <w:sz w:val="22"/>
          <w:szCs w:val="22"/>
        </w:rPr>
        <w:t xml:space="preserve"> </w:t>
      </w:r>
      <w:r w:rsidR="00CE6593" w:rsidRPr="000E2721">
        <w:rPr>
          <w:rFonts w:cstheme="minorHAnsi"/>
          <w:b/>
          <w:bCs/>
          <w:sz w:val="22"/>
          <w:szCs w:val="22"/>
        </w:rPr>
        <w:t xml:space="preserve">Limanlarımızda Elleçlenen </w:t>
      </w:r>
      <w:r w:rsidR="006B3BD6" w:rsidRPr="000E2721">
        <w:rPr>
          <w:rFonts w:cstheme="minorHAnsi"/>
          <w:b/>
          <w:bCs/>
          <w:sz w:val="22"/>
          <w:szCs w:val="22"/>
        </w:rPr>
        <w:t xml:space="preserve">Toplam Yükte </w:t>
      </w:r>
      <w:r w:rsidR="00CE6593" w:rsidRPr="000E2721">
        <w:rPr>
          <w:rFonts w:cstheme="minorHAnsi"/>
          <w:b/>
          <w:bCs/>
          <w:sz w:val="22"/>
          <w:szCs w:val="22"/>
        </w:rPr>
        <w:t>Tonaj ve Büyüme Oranı (2020-2024)</w:t>
      </w:r>
    </w:p>
    <w:p w14:paraId="7CC26C8B" w14:textId="0660CF65" w:rsidR="00410154" w:rsidRDefault="00351926" w:rsidP="00E6237E">
      <w:pPr>
        <w:jc w:val="center"/>
        <w:rPr>
          <w:rFonts w:cstheme="minorHAnsi"/>
        </w:rPr>
      </w:pPr>
      <w:r>
        <w:rPr>
          <w:noProof/>
        </w:rPr>
        <w:drawing>
          <wp:inline distT="0" distB="0" distL="0" distR="0" wp14:anchorId="4B0103FF" wp14:editId="01033138">
            <wp:extent cx="4572000" cy="2743200"/>
            <wp:effectExtent l="0" t="0" r="0" b="0"/>
            <wp:docPr id="932795590" name="Grafik 1">
              <a:extLst xmlns:a="http://schemas.openxmlformats.org/drawingml/2006/main">
                <a:ext uri="{FF2B5EF4-FFF2-40B4-BE49-F238E27FC236}">
                  <a16:creationId xmlns:a16="http://schemas.microsoft.com/office/drawing/2014/main" id="{FAF170C1-868C-3645-0BCB-1F11BA1DD5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E03FD8" w14:textId="77777777" w:rsidR="00AA6227" w:rsidRDefault="00AA6227" w:rsidP="00884FAB">
      <w:pPr>
        <w:pStyle w:val="ListeParagraf"/>
        <w:tabs>
          <w:tab w:val="left" w:pos="567"/>
        </w:tabs>
        <w:ind w:left="0"/>
        <w:jc w:val="both"/>
        <w:rPr>
          <w:rFonts w:cstheme="minorHAnsi"/>
          <w:b/>
          <w:bCs/>
        </w:rPr>
      </w:pPr>
    </w:p>
    <w:p w14:paraId="214EA66F" w14:textId="67C36033" w:rsidR="00F7354F" w:rsidRPr="000E2721" w:rsidRDefault="00F7354F" w:rsidP="00F7354F">
      <w:pPr>
        <w:jc w:val="both"/>
        <w:rPr>
          <w:rFonts w:cstheme="minorHAnsi"/>
          <w:sz w:val="24"/>
          <w:szCs w:val="24"/>
        </w:rPr>
      </w:pPr>
      <w:r>
        <w:rPr>
          <w:rFonts w:cstheme="minorHAnsi"/>
          <w:sz w:val="24"/>
          <w:szCs w:val="24"/>
        </w:rPr>
        <w:t>Yukarıdaki</w:t>
      </w:r>
      <w:r w:rsidRPr="000E2721">
        <w:rPr>
          <w:rFonts w:cstheme="minorHAnsi"/>
          <w:sz w:val="24"/>
          <w:szCs w:val="24"/>
        </w:rPr>
        <w:t xml:space="preserve"> Grafik-1’e baktığımızda </w:t>
      </w:r>
      <w:r w:rsidR="00B84450">
        <w:rPr>
          <w:rFonts w:cstheme="minorHAnsi"/>
          <w:sz w:val="24"/>
          <w:szCs w:val="24"/>
        </w:rPr>
        <w:t>limanlarımızda</w:t>
      </w:r>
      <w:r w:rsidR="00DD50F1">
        <w:rPr>
          <w:rFonts w:cstheme="minorHAnsi"/>
          <w:sz w:val="24"/>
          <w:szCs w:val="24"/>
        </w:rPr>
        <w:t xml:space="preserve"> Cumhuriyet tarihinin en yüksek tona</w:t>
      </w:r>
      <w:r w:rsidR="000B45FE">
        <w:rPr>
          <w:rFonts w:cstheme="minorHAnsi"/>
          <w:sz w:val="24"/>
          <w:szCs w:val="24"/>
        </w:rPr>
        <w:t>j</w:t>
      </w:r>
      <w:r w:rsidR="00DD50F1">
        <w:rPr>
          <w:rFonts w:cstheme="minorHAnsi"/>
          <w:sz w:val="24"/>
          <w:szCs w:val="24"/>
        </w:rPr>
        <w:t xml:space="preserve">ı </w:t>
      </w:r>
      <w:r w:rsidR="000B45FE">
        <w:rPr>
          <w:rFonts w:cstheme="minorHAnsi"/>
          <w:sz w:val="24"/>
          <w:szCs w:val="24"/>
        </w:rPr>
        <w:t>(</w:t>
      </w:r>
      <w:r w:rsidR="000B45FE" w:rsidRPr="000E2721">
        <w:rPr>
          <w:rFonts w:cstheme="minorHAnsi"/>
          <w:sz w:val="24"/>
          <w:szCs w:val="24"/>
        </w:rPr>
        <w:t xml:space="preserve">542,6 milyon </w:t>
      </w:r>
      <w:r w:rsidR="000B45FE">
        <w:rPr>
          <w:rFonts w:cstheme="minorHAnsi"/>
          <w:sz w:val="24"/>
          <w:szCs w:val="24"/>
        </w:rPr>
        <w:t xml:space="preserve">ton) </w:t>
      </w:r>
      <w:r w:rsidR="00DD50F1">
        <w:rPr>
          <w:rFonts w:cstheme="minorHAnsi"/>
          <w:sz w:val="24"/>
          <w:szCs w:val="24"/>
        </w:rPr>
        <w:t>202</w:t>
      </w:r>
      <w:r w:rsidR="000B45FE">
        <w:rPr>
          <w:rFonts w:cstheme="minorHAnsi"/>
          <w:sz w:val="24"/>
          <w:szCs w:val="24"/>
        </w:rPr>
        <w:t>2</w:t>
      </w:r>
      <w:r w:rsidR="00DD50F1">
        <w:rPr>
          <w:rFonts w:cstheme="minorHAnsi"/>
          <w:sz w:val="24"/>
          <w:szCs w:val="24"/>
        </w:rPr>
        <w:t xml:space="preserve"> yılında </w:t>
      </w:r>
      <w:r w:rsidR="000B45FE">
        <w:rPr>
          <w:rFonts w:cstheme="minorHAnsi"/>
          <w:sz w:val="24"/>
          <w:szCs w:val="24"/>
        </w:rPr>
        <w:t xml:space="preserve">elleçlenmiştir. </w:t>
      </w:r>
      <w:r w:rsidR="00426641">
        <w:rPr>
          <w:rFonts w:cstheme="minorHAnsi"/>
          <w:sz w:val="24"/>
          <w:szCs w:val="24"/>
        </w:rPr>
        <w:t>D</w:t>
      </w:r>
      <w:r w:rsidR="000B45FE">
        <w:rPr>
          <w:rFonts w:cstheme="minorHAnsi"/>
          <w:sz w:val="24"/>
          <w:szCs w:val="24"/>
        </w:rPr>
        <w:t>ünyada yaşanan büyüme sıkıntıları, y</w:t>
      </w:r>
      <w:r w:rsidR="00426641">
        <w:rPr>
          <w:rFonts w:cstheme="minorHAnsi"/>
          <w:sz w:val="24"/>
          <w:szCs w:val="24"/>
        </w:rPr>
        <w:t>ü</w:t>
      </w:r>
      <w:r w:rsidR="000B45FE">
        <w:rPr>
          <w:rFonts w:cstheme="minorHAnsi"/>
          <w:sz w:val="24"/>
          <w:szCs w:val="24"/>
        </w:rPr>
        <w:t>ksek enflasyon</w:t>
      </w:r>
      <w:r w:rsidR="00426641">
        <w:rPr>
          <w:rFonts w:cstheme="minorHAnsi"/>
          <w:sz w:val="24"/>
          <w:szCs w:val="24"/>
        </w:rPr>
        <w:t xml:space="preserve"> ve ticaretteki daralmalarla beraber dış ticarette yaşanan yavaşlamanın da etkisiyle </w:t>
      </w:r>
      <w:r w:rsidRPr="000E2721">
        <w:rPr>
          <w:rFonts w:cstheme="minorHAnsi"/>
          <w:sz w:val="24"/>
          <w:szCs w:val="24"/>
        </w:rPr>
        <w:t xml:space="preserve">2023 yılından sonra 2024 yılında da </w:t>
      </w:r>
      <w:r w:rsidR="00A567E2" w:rsidRPr="000E2721">
        <w:rPr>
          <w:rFonts w:cstheme="minorHAnsi"/>
          <w:sz w:val="24"/>
          <w:szCs w:val="24"/>
        </w:rPr>
        <w:t xml:space="preserve">limanlarımızda </w:t>
      </w:r>
      <w:r w:rsidRPr="000E2721">
        <w:rPr>
          <w:rFonts w:cstheme="minorHAnsi"/>
          <w:sz w:val="24"/>
          <w:szCs w:val="24"/>
        </w:rPr>
        <w:t>elleçlenen toplam yük miktarı 2022 yılında gerçekleşen tona</w:t>
      </w:r>
      <w:r w:rsidR="00A567E2">
        <w:rPr>
          <w:rFonts w:cstheme="minorHAnsi"/>
          <w:sz w:val="24"/>
          <w:szCs w:val="24"/>
        </w:rPr>
        <w:t>ja</w:t>
      </w:r>
      <w:r w:rsidRPr="000E2721">
        <w:rPr>
          <w:rFonts w:cstheme="minorHAnsi"/>
          <w:sz w:val="24"/>
          <w:szCs w:val="24"/>
        </w:rPr>
        <w:t xml:space="preserve"> </w:t>
      </w:r>
      <w:r w:rsidR="00A567E2">
        <w:rPr>
          <w:rFonts w:cstheme="minorHAnsi"/>
          <w:sz w:val="24"/>
          <w:szCs w:val="24"/>
        </w:rPr>
        <w:t>(</w:t>
      </w:r>
      <w:r w:rsidR="00A567E2" w:rsidRPr="000E2721">
        <w:rPr>
          <w:rFonts w:cstheme="minorHAnsi"/>
          <w:sz w:val="24"/>
          <w:szCs w:val="24"/>
        </w:rPr>
        <w:t xml:space="preserve">542,6 milyon </w:t>
      </w:r>
      <w:r w:rsidR="00A567E2">
        <w:rPr>
          <w:rFonts w:cstheme="minorHAnsi"/>
          <w:sz w:val="24"/>
          <w:szCs w:val="24"/>
        </w:rPr>
        <w:t xml:space="preserve">ton) </w:t>
      </w:r>
      <w:r w:rsidRPr="000E2721">
        <w:rPr>
          <w:rFonts w:cstheme="minorHAnsi"/>
          <w:sz w:val="24"/>
          <w:szCs w:val="24"/>
        </w:rPr>
        <w:t>ulaşamamıştır. Limanlarda elleçlenen toplam yük miktarının 2025 yılı</w:t>
      </w:r>
      <w:r w:rsidR="00A567E2">
        <w:rPr>
          <w:rFonts w:cstheme="minorHAnsi"/>
          <w:sz w:val="24"/>
          <w:szCs w:val="24"/>
        </w:rPr>
        <w:t xml:space="preserve"> sonunda </w:t>
      </w:r>
      <w:r w:rsidRPr="000E2721">
        <w:rPr>
          <w:rFonts w:cstheme="minorHAnsi"/>
          <w:sz w:val="24"/>
          <w:szCs w:val="24"/>
        </w:rPr>
        <w:t>2022 yılın</w:t>
      </w:r>
      <w:r w:rsidR="00A567E2">
        <w:rPr>
          <w:rFonts w:cstheme="minorHAnsi"/>
          <w:sz w:val="24"/>
          <w:szCs w:val="24"/>
        </w:rPr>
        <w:t xml:space="preserve">da ulaşılan </w:t>
      </w:r>
      <w:r w:rsidRPr="000E2721">
        <w:rPr>
          <w:rFonts w:cstheme="minorHAnsi"/>
          <w:sz w:val="24"/>
          <w:szCs w:val="24"/>
        </w:rPr>
        <w:t xml:space="preserve">toplam yük miktarını yakalaması için </w:t>
      </w:r>
      <w:r w:rsidR="00A567E2">
        <w:rPr>
          <w:rFonts w:cstheme="minorHAnsi"/>
          <w:sz w:val="24"/>
          <w:szCs w:val="24"/>
        </w:rPr>
        <w:t xml:space="preserve">2025 yılında limanlarımızın </w:t>
      </w:r>
      <w:r w:rsidRPr="000E2721">
        <w:rPr>
          <w:rFonts w:cstheme="minorHAnsi"/>
          <w:sz w:val="24"/>
          <w:szCs w:val="24"/>
        </w:rPr>
        <w:t xml:space="preserve">minimum %2 oranında büyümesi gerekecektir ki Ocak 2025 ayında toplam yükte limanlarımızda elleçlenen yük miktarı </w:t>
      </w:r>
      <w:r w:rsidR="00A567E2">
        <w:rPr>
          <w:rFonts w:cstheme="minorHAnsi"/>
          <w:sz w:val="24"/>
          <w:szCs w:val="24"/>
        </w:rPr>
        <w:t>son derece olumlu şekilde</w:t>
      </w:r>
      <w:r w:rsidR="00A567E2" w:rsidRPr="000E2721">
        <w:rPr>
          <w:rFonts w:cstheme="minorHAnsi"/>
          <w:sz w:val="24"/>
          <w:szCs w:val="24"/>
        </w:rPr>
        <w:t xml:space="preserve"> </w:t>
      </w:r>
      <w:r w:rsidRPr="000E2721">
        <w:rPr>
          <w:rFonts w:cstheme="minorHAnsi"/>
          <w:sz w:val="24"/>
          <w:szCs w:val="24"/>
        </w:rPr>
        <w:t xml:space="preserve">%12,77 </w:t>
      </w:r>
      <w:r w:rsidRPr="000E2721">
        <w:rPr>
          <w:rFonts w:cstheme="minorHAnsi"/>
          <w:sz w:val="24"/>
          <w:szCs w:val="24"/>
        </w:rPr>
        <w:lastRenderedPageBreak/>
        <w:t>oranında artmıştır. Ocak 2025 ayından da görüldüğü gibi limanlarımız 2025 yılında 2022 yılın</w:t>
      </w:r>
      <w:r w:rsidR="00DA3091">
        <w:rPr>
          <w:rFonts w:cstheme="minorHAnsi"/>
          <w:sz w:val="24"/>
          <w:szCs w:val="24"/>
        </w:rPr>
        <w:t xml:space="preserve">da ulaşılan miktarın </w:t>
      </w:r>
      <w:r w:rsidRPr="000E2721">
        <w:rPr>
          <w:rFonts w:cstheme="minorHAnsi"/>
          <w:sz w:val="24"/>
          <w:szCs w:val="24"/>
        </w:rPr>
        <w:t xml:space="preserve">çok daha üstüne çıkacaktır.  </w:t>
      </w:r>
    </w:p>
    <w:p w14:paraId="11941A64" w14:textId="6ADEFCCB" w:rsidR="00A926EB" w:rsidRPr="00DA3091" w:rsidRDefault="00884FAB" w:rsidP="00A926EB">
      <w:pPr>
        <w:jc w:val="both"/>
        <w:rPr>
          <w:rFonts w:cstheme="minorHAnsi"/>
          <w:sz w:val="24"/>
          <w:szCs w:val="24"/>
        </w:rPr>
      </w:pPr>
      <w:r w:rsidRPr="00785C86">
        <w:rPr>
          <w:rFonts w:cstheme="minorHAnsi"/>
          <w:sz w:val="24"/>
          <w:szCs w:val="24"/>
        </w:rPr>
        <w:t>Tablo-3’e baktığımızda toplam yükte İhracata konu yüklerin</w:t>
      </w:r>
      <w:r w:rsidR="00D61962" w:rsidRPr="00785C86">
        <w:rPr>
          <w:rFonts w:cstheme="minorHAnsi"/>
          <w:sz w:val="24"/>
          <w:szCs w:val="24"/>
        </w:rPr>
        <w:t xml:space="preserve"> </w:t>
      </w:r>
      <w:r w:rsidR="00490818" w:rsidRPr="00785C86">
        <w:rPr>
          <w:rFonts w:cstheme="minorHAnsi"/>
          <w:sz w:val="24"/>
          <w:szCs w:val="24"/>
        </w:rPr>
        <w:t xml:space="preserve">Ocak-Mayıs aylarında arttığı, fakat kalan aylarda </w:t>
      </w:r>
      <w:r w:rsidR="00574027" w:rsidRPr="00785C86">
        <w:rPr>
          <w:rFonts w:cstheme="minorHAnsi"/>
          <w:sz w:val="24"/>
          <w:szCs w:val="24"/>
        </w:rPr>
        <w:t xml:space="preserve">ise </w:t>
      </w:r>
      <w:r w:rsidR="00490818" w:rsidRPr="00785C86">
        <w:rPr>
          <w:rFonts w:cstheme="minorHAnsi"/>
          <w:sz w:val="24"/>
          <w:szCs w:val="24"/>
        </w:rPr>
        <w:t xml:space="preserve">azaldığı görülmektedir. Yılın ilk </w:t>
      </w:r>
      <w:r w:rsidR="00124F37">
        <w:rPr>
          <w:rFonts w:cstheme="minorHAnsi"/>
          <w:sz w:val="24"/>
          <w:szCs w:val="24"/>
        </w:rPr>
        <w:t xml:space="preserve">altı </w:t>
      </w:r>
      <w:r w:rsidR="00490818" w:rsidRPr="00785C86">
        <w:rPr>
          <w:rFonts w:cstheme="minorHAnsi"/>
          <w:sz w:val="24"/>
          <w:szCs w:val="24"/>
        </w:rPr>
        <w:t>ayında</w:t>
      </w:r>
      <w:r w:rsidR="00574027" w:rsidRPr="00785C86">
        <w:rPr>
          <w:rFonts w:cstheme="minorHAnsi"/>
          <w:sz w:val="24"/>
          <w:szCs w:val="24"/>
        </w:rPr>
        <w:t xml:space="preserve"> İhracata konu yüklerde yaşanan</w:t>
      </w:r>
      <w:r w:rsidR="00490818" w:rsidRPr="00785C86">
        <w:rPr>
          <w:rFonts w:cstheme="minorHAnsi"/>
          <w:sz w:val="24"/>
          <w:szCs w:val="24"/>
        </w:rPr>
        <w:t xml:space="preserve"> yüksek büyüme</w:t>
      </w:r>
      <w:r w:rsidR="00124F37">
        <w:rPr>
          <w:rFonts w:cstheme="minorHAnsi"/>
          <w:sz w:val="24"/>
          <w:szCs w:val="24"/>
        </w:rPr>
        <w:t>nin de desteğiyle</w:t>
      </w:r>
      <w:r w:rsidR="00490818" w:rsidRPr="00785C86">
        <w:rPr>
          <w:rFonts w:cstheme="minorHAnsi"/>
          <w:sz w:val="24"/>
          <w:szCs w:val="24"/>
        </w:rPr>
        <w:t xml:space="preserve"> </w:t>
      </w:r>
      <w:r w:rsidR="00124F37">
        <w:rPr>
          <w:rFonts w:cstheme="minorHAnsi"/>
          <w:sz w:val="24"/>
          <w:szCs w:val="24"/>
        </w:rPr>
        <w:t xml:space="preserve">2024 yılının sonunda </w:t>
      </w:r>
      <w:r w:rsidR="00574027" w:rsidRPr="00785C86">
        <w:rPr>
          <w:rFonts w:cstheme="minorHAnsi"/>
          <w:sz w:val="24"/>
          <w:szCs w:val="24"/>
        </w:rPr>
        <w:t>İhracat</w:t>
      </w:r>
      <w:r w:rsidR="00124F37">
        <w:rPr>
          <w:rFonts w:cstheme="minorHAnsi"/>
          <w:sz w:val="24"/>
          <w:szCs w:val="24"/>
        </w:rPr>
        <w:t>a konu</w:t>
      </w:r>
      <w:r w:rsidR="00574027" w:rsidRPr="00785C86">
        <w:rPr>
          <w:rFonts w:cstheme="minorHAnsi"/>
          <w:sz w:val="24"/>
          <w:szCs w:val="24"/>
        </w:rPr>
        <w:t xml:space="preserve"> yükler</w:t>
      </w:r>
      <w:r w:rsidR="00AB0ACA">
        <w:rPr>
          <w:rFonts w:cstheme="minorHAnsi"/>
          <w:sz w:val="24"/>
          <w:szCs w:val="24"/>
        </w:rPr>
        <w:t xml:space="preserve"> toplamda</w:t>
      </w:r>
      <w:r w:rsidR="00761864" w:rsidRPr="00785C86">
        <w:rPr>
          <w:rFonts w:cstheme="minorHAnsi"/>
          <w:sz w:val="24"/>
          <w:szCs w:val="24"/>
        </w:rPr>
        <w:t xml:space="preserve"> </w:t>
      </w:r>
      <w:r w:rsidR="00E34CF2" w:rsidRPr="00785C86">
        <w:rPr>
          <w:rFonts w:cstheme="minorHAnsi"/>
          <w:sz w:val="24"/>
          <w:szCs w:val="24"/>
        </w:rPr>
        <w:t>%4,99</w:t>
      </w:r>
      <w:r w:rsidR="00761864" w:rsidRPr="00785C86">
        <w:rPr>
          <w:rFonts w:cstheme="minorHAnsi"/>
          <w:sz w:val="24"/>
          <w:szCs w:val="24"/>
        </w:rPr>
        <w:t xml:space="preserve"> oranında arttırmıştır. </w:t>
      </w:r>
      <w:r w:rsidR="00E34CF2" w:rsidRPr="00785C86">
        <w:rPr>
          <w:rFonts w:cstheme="minorHAnsi"/>
          <w:sz w:val="24"/>
          <w:szCs w:val="24"/>
        </w:rPr>
        <w:t>İthalata konu yükler</w:t>
      </w:r>
      <w:r w:rsidR="00AB0ACA">
        <w:rPr>
          <w:rFonts w:cstheme="minorHAnsi"/>
          <w:sz w:val="24"/>
          <w:szCs w:val="24"/>
        </w:rPr>
        <w:t xml:space="preserve"> </w:t>
      </w:r>
      <w:r w:rsidR="00E34CF2" w:rsidRPr="00785C86">
        <w:rPr>
          <w:rFonts w:cstheme="minorHAnsi"/>
          <w:sz w:val="24"/>
          <w:szCs w:val="24"/>
        </w:rPr>
        <w:t>ise Nisan</w:t>
      </w:r>
      <w:r w:rsidR="00761864" w:rsidRPr="00785C86">
        <w:rPr>
          <w:rFonts w:cstheme="minorHAnsi"/>
          <w:sz w:val="24"/>
          <w:szCs w:val="24"/>
        </w:rPr>
        <w:t xml:space="preserve"> ayından </w:t>
      </w:r>
      <w:r w:rsidR="00E34CF2" w:rsidRPr="00785C86">
        <w:rPr>
          <w:rFonts w:cstheme="minorHAnsi"/>
          <w:sz w:val="24"/>
          <w:szCs w:val="24"/>
        </w:rPr>
        <w:t>Ekim</w:t>
      </w:r>
      <w:r w:rsidR="00761864" w:rsidRPr="00785C86">
        <w:rPr>
          <w:rFonts w:cstheme="minorHAnsi"/>
          <w:sz w:val="24"/>
          <w:szCs w:val="24"/>
        </w:rPr>
        <w:t xml:space="preserve"> ayına kadar </w:t>
      </w:r>
      <w:r w:rsidR="00E34CF2" w:rsidRPr="00785C86">
        <w:rPr>
          <w:rFonts w:cstheme="minorHAnsi"/>
          <w:sz w:val="24"/>
          <w:szCs w:val="24"/>
        </w:rPr>
        <w:t>düşü</w:t>
      </w:r>
      <w:r w:rsidR="00A436CF" w:rsidRPr="00785C86">
        <w:rPr>
          <w:rFonts w:cstheme="minorHAnsi"/>
          <w:sz w:val="24"/>
          <w:szCs w:val="24"/>
        </w:rPr>
        <w:t>ş</w:t>
      </w:r>
      <w:r w:rsidR="00AB0ACA">
        <w:rPr>
          <w:rFonts w:cstheme="minorHAnsi"/>
          <w:sz w:val="24"/>
          <w:szCs w:val="24"/>
        </w:rPr>
        <w:t xml:space="preserve">müş, </w:t>
      </w:r>
      <w:r w:rsidR="00143C7E">
        <w:rPr>
          <w:rFonts w:cstheme="minorHAnsi"/>
          <w:sz w:val="24"/>
          <w:szCs w:val="24"/>
        </w:rPr>
        <w:t xml:space="preserve">devamında ancak </w:t>
      </w:r>
      <w:r w:rsidR="00E34CF2" w:rsidRPr="00785C86">
        <w:rPr>
          <w:rFonts w:cstheme="minorHAnsi"/>
          <w:sz w:val="24"/>
          <w:szCs w:val="24"/>
        </w:rPr>
        <w:t>yılın son iki ayında toparlanmış</w:t>
      </w:r>
      <w:r w:rsidR="00143C7E">
        <w:rPr>
          <w:rFonts w:cstheme="minorHAnsi"/>
          <w:sz w:val="24"/>
          <w:szCs w:val="24"/>
        </w:rPr>
        <w:t>tır. B</w:t>
      </w:r>
      <w:r w:rsidR="007B732F" w:rsidRPr="00785C86">
        <w:rPr>
          <w:rFonts w:cstheme="minorHAnsi"/>
          <w:sz w:val="24"/>
          <w:szCs w:val="24"/>
        </w:rPr>
        <w:t xml:space="preserve">u toparlanmayla </w:t>
      </w:r>
      <w:r w:rsidR="00143C7E">
        <w:rPr>
          <w:rFonts w:cstheme="minorHAnsi"/>
          <w:sz w:val="24"/>
          <w:szCs w:val="24"/>
        </w:rPr>
        <w:t xml:space="preserve">birlikte </w:t>
      </w:r>
      <w:r w:rsidR="00761864" w:rsidRPr="00785C86">
        <w:rPr>
          <w:rFonts w:cstheme="minorHAnsi"/>
          <w:sz w:val="24"/>
          <w:szCs w:val="24"/>
        </w:rPr>
        <w:t>İ</w:t>
      </w:r>
      <w:r w:rsidR="000B0757" w:rsidRPr="00785C86">
        <w:rPr>
          <w:rFonts w:cstheme="minorHAnsi"/>
          <w:sz w:val="24"/>
          <w:szCs w:val="24"/>
        </w:rPr>
        <w:t xml:space="preserve">thalata konu yük miktarı </w:t>
      </w:r>
      <w:r w:rsidR="00143C7E">
        <w:rPr>
          <w:rFonts w:cstheme="minorHAnsi"/>
          <w:sz w:val="24"/>
          <w:szCs w:val="24"/>
        </w:rPr>
        <w:t>pozitife</w:t>
      </w:r>
      <w:r w:rsidR="00FA19DD" w:rsidRPr="00785C86">
        <w:rPr>
          <w:rFonts w:cstheme="minorHAnsi"/>
          <w:sz w:val="24"/>
          <w:szCs w:val="24"/>
        </w:rPr>
        <w:t xml:space="preserve"> geçerek küçük bir miktarda </w:t>
      </w:r>
      <w:r w:rsidR="000B0757" w:rsidRPr="00785C86">
        <w:rPr>
          <w:rFonts w:cstheme="minorHAnsi"/>
          <w:sz w:val="24"/>
          <w:szCs w:val="24"/>
        </w:rPr>
        <w:t>(%0,36</w:t>
      </w:r>
      <w:r w:rsidR="00FA19DD" w:rsidRPr="00785C86">
        <w:rPr>
          <w:rFonts w:cstheme="minorHAnsi"/>
          <w:sz w:val="24"/>
          <w:szCs w:val="24"/>
        </w:rPr>
        <w:t xml:space="preserve">) artmıştır. </w:t>
      </w:r>
      <w:r w:rsidR="0049729C" w:rsidRPr="00785C86">
        <w:rPr>
          <w:rFonts w:cstheme="minorHAnsi"/>
          <w:sz w:val="24"/>
          <w:szCs w:val="24"/>
        </w:rPr>
        <w:t xml:space="preserve">Her ne kadar </w:t>
      </w:r>
      <w:r w:rsidR="00E34C4C" w:rsidRPr="00785C86">
        <w:rPr>
          <w:rFonts w:cstheme="minorHAnsi"/>
          <w:sz w:val="24"/>
          <w:szCs w:val="24"/>
        </w:rPr>
        <w:t xml:space="preserve">Kabotaja </w:t>
      </w:r>
      <w:r w:rsidR="003E2FFF" w:rsidRPr="00785C86">
        <w:rPr>
          <w:rFonts w:cstheme="minorHAnsi"/>
          <w:sz w:val="24"/>
          <w:szCs w:val="24"/>
        </w:rPr>
        <w:t>ve Transite</w:t>
      </w:r>
      <w:r w:rsidR="004A13E9" w:rsidRPr="00785C86">
        <w:rPr>
          <w:rFonts w:cstheme="minorHAnsi"/>
          <w:sz w:val="24"/>
          <w:szCs w:val="24"/>
        </w:rPr>
        <w:t xml:space="preserve"> (toplam içindeki payı %1</w:t>
      </w:r>
      <w:r w:rsidR="00383AB7" w:rsidRPr="00785C86">
        <w:rPr>
          <w:rFonts w:cstheme="minorHAnsi"/>
          <w:sz w:val="24"/>
          <w:szCs w:val="24"/>
        </w:rPr>
        <w:t>3</w:t>
      </w:r>
      <w:r w:rsidR="004A13E9" w:rsidRPr="00785C86">
        <w:rPr>
          <w:rFonts w:cstheme="minorHAnsi"/>
          <w:sz w:val="24"/>
          <w:szCs w:val="24"/>
        </w:rPr>
        <w:t xml:space="preserve"> tür) </w:t>
      </w:r>
      <w:r w:rsidR="00E34C4C" w:rsidRPr="00785C86">
        <w:rPr>
          <w:rFonts w:cstheme="minorHAnsi"/>
          <w:sz w:val="24"/>
          <w:szCs w:val="24"/>
        </w:rPr>
        <w:t xml:space="preserve">konu yüklerin </w:t>
      </w:r>
      <w:r w:rsidR="0049729C" w:rsidRPr="00785C86">
        <w:rPr>
          <w:rFonts w:cstheme="minorHAnsi"/>
          <w:sz w:val="24"/>
          <w:szCs w:val="24"/>
        </w:rPr>
        <w:t xml:space="preserve">toplam içindeki tonajı düşük olsa da </w:t>
      </w:r>
      <w:r w:rsidR="00E34C4C" w:rsidRPr="00785C86">
        <w:rPr>
          <w:rFonts w:cstheme="minorHAnsi"/>
          <w:sz w:val="24"/>
          <w:szCs w:val="24"/>
        </w:rPr>
        <w:t xml:space="preserve">2025 yılında </w:t>
      </w:r>
      <w:r w:rsidR="00383AB7" w:rsidRPr="00785C86">
        <w:rPr>
          <w:rFonts w:cstheme="minorHAnsi"/>
          <w:sz w:val="24"/>
          <w:szCs w:val="24"/>
        </w:rPr>
        <w:t xml:space="preserve">her iki yük grubu da </w:t>
      </w:r>
      <w:r w:rsidR="00FA19DD" w:rsidRPr="00785C86">
        <w:rPr>
          <w:rFonts w:cstheme="minorHAnsi"/>
          <w:sz w:val="24"/>
          <w:szCs w:val="24"/>
        </w:rPr>
        <w:t xml:space="preserve">sırasıyla %1 ve %3,49 oranında </w:t>
      </w:r>
      <w:r w:rsidR="00E34C4C" w:rsidRPr="00785C86">
        <w:rPr>
          <w:rFonts w:cstheme="minorHAnsi"/>
          <w:sz w:val="24"/>
          <w:szCs w:val="24"/>
        </w:rPr>
        <w:t xml:space="preserve">büyümüştür. </w:t>
      </w:r>
    </w:p>
    <w:p w14:paraId="5477A1E5" w14:textId="0B4956AA" w:rsidR="00884FAB" w:rsidRPr="00DA3091" w:rsidRDefault="00884FAB" w:rsidP="00884FAB">
      <w:pPr>
        <w:jc w:val="center"/>
        <w:rPr>
          <w:rFonts w:cstheme="minorHAnsi"/>
          <w:sz w:val="22"/>
          <w:szCs w:val="22"/>
        </w:rPr>
      </w:pPr>
      <w:r w:rsidRPr="00DA3091">
        <w:rPr>
          <w:rFonts w:cstheme="minorHAnsi"/>
          <w:b/>
          <w:bCs/>
          <w:sz w:val="22"/>
          <w:szCs w:val="22"/>
          <w:u w:val="single"/>
        </w:rPr>
        <w:t>Tablo-3:</w:t>
      </w:r>
      <w:r w:rsidRPr="00DA3091">
        <w:rPr>
          <w:rFonts w:cstheme="minorHAnsi"/>
          <w:sz w:val="22"/>
          <w:szCs w:val="22"/>
        </w:rPr>
        <w:t xml:space="preserve"> </w:t>
      </w:r>
      <w:r w:rsidRPr="00DA3091">
        <w:rPr>
          <w:rFonts w:cstheme="minorHAnsi"/>
          <w:b/>
          <w:bCs/>
          <w:sz w:val="22"/>
          <w:szCs w:val="22"/>
        </w:rPr>
        <w:t>Gümrük Rejimlerine Göre Toplam Yükte Aylık Büyüme Oranları (2023-2024)</w:t>
      </w:r>
    </w:p>
    <w:tbl>
      <w:tblPr>
        <w:tblW w:w="57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116"/>
        <w:gridCol w:w="894"/>
        <w:gridCol w:w="859"/>
        <w:gridCol w:w="988"/>
        <w:gridCol w:w="883"/>
        <w:gridCol w:w="960"/>
      </w:tblGrid>
      <w:tr w:rsidR="00884FAB" w:rsidRPr="002B6338" w14:paraId="3A3791B7" w14:textId="77777777" w:rsidTr="00F87DC8">
        <w:trPr>
          <w:trHeight w:val="540"/>
          <w:jc w:val="center"/>
        </w:trPr>
        <w:tc>
          <w:tcPr>
            <w:tcW w:w="5700" w:type="dxa"/>
            <w:gridSpan w:val="6"/>
            <w:shd w:val="clear" w:color="auto" w:fill="FFFF00"/>
            <w:noWrap/>
            <w:vAlign w:val="bottom"/>
            <w:hideMark/>
          </w:tcPr>
          <w:p w14:paraId="0C8AA38A" w14:textId="77777777" w:rsidR="00884FAB" w:rsidRPr="00523B3C" w:rsidRDefault="00884FAB">
            <w:pPr>
              <w:spacing w:after="0" w:line="240" w:lineRule="auto"/>
              <w:jc w:val="center"/>
              <w:rPr>
                <w:rFonts w:ascii="Calibri" w:eastAsia="Times New Roman" w:hAnsi="Calibri" w:cs="Calibri"/>
                <w:b/>
                <w:bCs/>
                <w:color w:val="000000"/>
                <w:lang w:eastAsia="tr-TR"/>
              </w:rPr>
            </w:pPr>
            <w:r w:rsidRPr="002B6338">
              <w:rPr>
                <w:rFonts w:ascii="Calibri" w:eastAsia="Times New Roman" w:hAnsi="Calibri" w:cs="Calibri"/>
                <w:b/>
                <w:bCs/>
                <w:color w:val="000000"/>
                <w:lang w:eastAsia="tr-TR"/>
              </w:rPr>
              <w:t>Toplam Yük</w:t>
            </w:r>
            <w:r w:rsidRPr="00523B3C">
              <w:rPr>
                <w:rFonts w:ascii="Calibri" w:eastAsia="Times New Roman" w:hAnsi="Calibri" w:cs="Calibri"/>
                <w:b/>
                <w:bCs/>
                <w:color w:val="000000"/>
                <w:lang w:eastAsia="tr-TR"/>
              </w:rPr>
              <w:t>te Gümrük</w:t>
            </w:r>
            <w:r w:rsidRPr="002B6338">
              <w:rPr>
                <w:rFonts w:ascii="Calibri" w:eastAsia="Times New Roman" w:hAnsi="Calibri" w:cs="Calibri"/>
                <w:b/>
                <w:bCs/>
                <w:color w:val="000000"/>
                <w:lang w:eastAsia="tr-TR"/>
              </w:rPr>
              <w:t xml:space="preserve"> Rejimlerine Göre Karşılaştırma</w:t>
            </w:r>
          </w:p>
          <w:p w14:paraId="3DB09457" w14:textId="77777777" w:rsidR="00884FAB" w:rsidRPr="002B6338" w:rsidRDefault="00884FAB">
            <w:pPr>
              <w:spacing w:after="0" w:line="240" w:lineRule="auto"/>
              <w:jc w:val="center"/>
              <w:rPr>
                <w:rFonts w:ascii="Calibri" w:eastAsia="Times New Roman" w:hAnsi="Calibri" w:cs="Calibri"/>
                <w:color w:val="000000"/>
                <w:lang w:eastAsia="tr-TR"/>
              </w:rPr>
            </w:pPr>
            <w:r>
              <w:rPr>
                <w:rFonts w:ascii="Calibri" w:eastAsia="Times New Roman" w:hAnsi="Calibri" w:cs="Calibri"/>
                <w:b/>
                <w:bCs/>
                <w:color w:val="000000"/>
                <w:lang w:eastAsia="tr-TR"/>
              </w:rPr>
              <w:t>(</w:t>
            </w:r>
            <w:r w:rsidRPr="002B6338">
              <w:rPr>
                <w:rFonts w:ascii="Calibri" w:eastAsia="Times New Roman" w:hAnsi="Calibri" w:cs="Calibri"/>
                <w:b/>
                <w:bCs/>
                <w:color w:val="000000"/>
                <w:lang w:eastAsia="tr-TR"/>
              </w:rPr>
              <w:t>2023</w:t>
            </w:r>
            <w:r w:rsidRPr="00523B3C">
              <w:rPr>
                <w:rFonts w:ascii="Calibri" w:eastAsia="Times New Roman" w:hAnsi="Calibri" w:cs="Calibri"/>
                <w:b/>
                <w:bCs/>
                <w:color w:val="000000"/>
                <w:lang w:eastAsia="tr-TR"/>
              </w:rPr>
              <w:t>-</w:t>
            </w:r>
            <w:r w:rsidRPr="002B6338">
              <w:rPr>
                <w:rFonts w:ascii="Calibri" w:eastAsia="Times New Roman" w:hAnsi="Calibri" w:cs="Calibri"/>
                <w:b/>
                <w:bCs/>
                <w:color w:val="000000"/>
                <w:lang w:eastAsia="tr-TR"/>
              </w:rPr>
              <w:t>2024</w:t>
            </w:r>
            <w:r>
              <w:rPr>
                <w:rFonts w:ascii="Calibri" w:eastAsia="Times New Roman" w:hAnsi="Calibri" w:cs="Calibri"/>
                <w:b/>
                <w:bCs/>
                <w:color w:val="000000"/>
                <w:lang w:eastAsia="tr-TR"/>
              </w:rPr>
              <w:t>)</w:t>
            </w:r>
          </w:p>
        </w:tc>
      </w:tr>
      <w:tr w:rsidR="00884FAB" w:rsidRPr="002B6338" w14:paraId="39072315" w14:textId="77777777" w:rsidTr="00F87DC8">
        <w:trPr>
          <w:trHeight w:val="285"/>
          <w:jc w:val="center"/>
        </w:trPr>
        <w:tc>
          <w:tcPr>
            <w:tcW w:w="1116" w:type="dxa"/>
            <w:shd w:val="clear" w:color="auto" w:fill="FFC000"/>
            <w:noWrap/>
            <w:vAlign w:val="bottom"/>
            <w:hideMark/>
          </w:tcPr>
          <w:p w14:paraId="00DDF798"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b/>
                <w:bCs/>
                <w:color w:val="000000"/>
                <w:lang w:eastAsia="tr-TR"/>
              </w:rPr>
              <w:t> </w:t>
            </w:r>
            <w:r w:rsidRPr="00523B3C">
              <w:rPr>
                <w:rFonts w:ascii="Calibri" w:eastAsia="Times New Roman" w:hAnsi="Calibri" w:cs="Calibri"/>
                <w:b/>
                <w:bCs/>
                <w:color w:val="000000"/>
                <w:lang w:eastAsia="tr-TR"/>
              </w:rPr>
              <w:t>Aylar</w:t>
            </w:r>
          </w:p>
        </w:tc>
        <w:tc>
          <w:tcPr>
            <w:tcW w:w="894" w:type="dxa"/>
            <w:shd w:val="clear" w:color="auto" w:fill="FFC000"/>
            <w:noWrap/>
            <w:vAlign w:val="bottom"/>
            <w:hideMark/>
          </w:tcPr>
          <w:p w14:paraId="5E703B16" w14:textId="77777777" w:rsidR="00884FAB" w:rsidRPr="002B6338" w:rsidRDefault="00884FAB">
            <w:pPr>
              <w:spacing w:after="0" w:line="240" w:lineRule="auto"/>
              <w:rPr>
                <w:rFonts w:ascii="Calibri" w:eastAsia="Times New Roman" w:hAnsi="Calibri" w:cs="Calibri"/>
                <w:b/>
                <w:bCs/>
                <w:color w:val="000000"/>
                <w:lang w:eastAsia="tr-TR"/>
              </w:rPr>
            </w:pPr>
            <w:r w:rsidRPr="002B6338">
              <w:rPr>
                <w:rFonts w:ascii="Calibri" w:eastAsia="Times New Roman" w:hAnsi="Calibri" w:cs="Calibri"/>
                <w:b/>
                <w:bCs/>
                <w:color w:val="000000"/>
                <w:lang w:eastAsia="tr-TR"/>
              </w:rPr>
              <w:t>İhracat</w:t>
            </w:r>
          </w:p>
        </w:tc>
        <w:tc>
          <w:tcPr>
            <w:tcW w:w="859" w:type="dxa"/>
            <w:shd w:val="clear" w:color="auto" w:fill="FFC000"/>
            <w:noWrap/>
            <w:vAlign w:val="bottom"/>
            <w:hideMark/>
          </w:tcPr>
          <w:p w14:paraId="1297B607" w14:textId="77777777" w:rsidR="00884FAB" w:rsidRPr="002B6338" w:rsidRDefault="00884FAB">
            <w:pPr>
              <w:spacing w:after="0" w:line="240" w:lineRule="auto"/>
              <w:rPr>
                <w:rFonts w:ascii="Calibri" w:eastAsia="Times New Roman" w:hAnsi="Calibri" w:cs="Calibri"/>
                <w:b/>
                <w:bCs/>
                <w:color w:val="000000"/>
                <w:lang w:eastAsia="tr-TR"/>
              </w:rPr>
            </w:pPr>
            <w:r w:rsidRPr="002B6338">
              <w:rPr>
                <w:rFonts w:ascii="Calibri" w:eastAsia="Times New Roman" w:hAnsi="Calibri" w:cs="Calibri"/>
                <w:b/>
                <w:bCs/>
                <w:color w:val="000000"/>
                <w:lang w:eastAsia="tr-TR"/>
              </w:rPr>
              <w:t>İthalat</w:t>
            </w:r>
          </w:p>
        </w:tc>
        <w:tc>
          <w:tcPr>
            <w:tcW w:w="988" w:type="dxa"/>
            <w:shd w:val="clear" w:color="auto" w:fill="FFC000"/>
            <w:noWrap/>
            <w:vAlign w:val="bottom"/>
            <w:hideMark/>
          </w:tcPr>
          <w:p w14:paraId="612EF339" w14:textId="77777777" w:rsidR="00884FAB" w:rsidRPr="002B6338" w:rsidRDefault="00884FAB">
            <w:pPr>
              <w:spacing w:after="0" w:line="240" w:lineRule="auto"/>
              <w:rPr>
                <w:rFonts w:ascii="Calibri" w:eastAsia="Times New Roman" w:hAnsi="Calibri" w:cs="Calibri"/>
                <w:b/>
                <w:bCs/>
                <w:color w:val="000000"/>
                <w:lang w:eastAsia="tr-TR"/>
              </w:rPr>
            </w:pPr>
            <w:r w:rsidRPr="002B6338">
              <w:rPr>
                <w:rFonts w:ascii="Calibri" w:eastAsia="Times New Roman" w:hAnsi="Calibri" w:cs="Calibri"/>
                <w:b/>
                <w:bCs/>
                <w:color w:val="000000"/>
                <w:lang w:eastAsia="tr-TR"/>
              </w:rPr>
              <w:t>Kabotaj</w:t>
            </w:r>
          </w:p>
        </w:tc>
        <w:tc>
          <w:tcPr>
            <w:tcW w:w="883" w:type="dxa"/>
            <w:shd w:val="clear" w:color="auto" w:fill="FFC000"/>
            <w:noWrap/>
            <w:vAlign w:val="bottom"/>
            <w:hideMark/>
          </w:tcPr>
          <w:p w14:paraId="6135B2E3" w14:textId="77777777" w:rsidR="00884FAB" w:rsidRPr="002B6338" w:rsidRDefault="00884FAB">
            <w:pPr>
              <w:spacing w:after="0" w:line="240" w:lineRule="auto"/>
              <w:rPr>
                <w:rFonts w:ascii="Calibri" w:eastAsia="Times New Roman" w:hAnsi="Calibri" w:cs="Calibri"/>
                <w:b/>
                <w:bCs/>
                <w:color w:val="000000"/>
                <w:lang w:eastAsia="tr-TR"/>
              </w:rPr>
            </w:pPr>
            <w:r w:rsidRPr="002B6338">
              <w:rPr>
                <w:rFonts w:ascii="Calibri" w:eastAsia="Times New Roman" w:hAnsi="Calibri" w:cs="Calibri"/>
                <w:b/>
                <w:bCs/>
                <w:color w:val="000000"/>
                <w:lang w:eastAsia="tr-TR"/>
              </w:rPr>
              <w:t>Transit</w:t>
            </w:r>
          </w:p>
        </w:tc>
        <w:tc>
          <w:tcPr>
            <w:tcW w:w="960" w:type="dxa"/>
            <w:shd w:val="clear" w:color="auto" w:fill="FFC000"/>
            <w:noWrap/>
            <w:vAlign w:val="bottom"/>
            <w:hideMark/>
          </w:tcPr>
          <w:p w14:paraId="641C9EDB" w14:textId="77777777" w:rsidR="00884FAB" w:rsidRPr="002B6338" w:rsidRDefault="00884FAB">
            <w:pPr>
              <w:spacing w:after="0" w:line="240" w:lineRule="auto"/>
              <w:rPr>
                <w:rFonts w:ascii="Calibri" w:eastAsia="Times New Roman" w:hAnsi="Calibri" w:cs="Calibri"/>
                <w:b/>
                <w:bCs/>
                <w:color w:val="000000"/>
                <w:lang w:eastAsia="tr-TR"/>
              </w:rPr>
            </w:pPr>
            <w:r w:rsidRPr="002B6338">
              <w:rPr>
                <w:rFonts w:ascii="Calibri" w:eastAsia="Times New Roman" w:hAnsi="Calibri" w:cs="Calibri"/>
                <w:b/>
                <w:bCs/>
                <w:color w:val="000000"/>
                <w:lang w:eastAsia="tr-TR"/>
              </w:rPr>
              <w:t>Toplam</w:t>
            </w:r>
          </w:p>
        </w:tc>
      </w:tr>
      <w:tr w:rsidR="00884FAB" w:rsidRPr="002B6338" w14:paraId="71567E9F" w14:textId="77777777" w:rsidTr="00F87DC8">
        <w:trPr>
          <w:trHeight w:val="285"/>
          <w:jc w:val="center"/>
        </w:trPr>
        <w:tc>
          <w:tcPr>
            <w:tcW w:w="1116" w:type="dxa"/>
            <w:shd w:val="clear" w:color="DEEAF6" w:fill="DEEAF6"/>
            <w:noWrap/>
            <w:vAlign w:val="bottom"/>
            <w:hideMark/>
          </w:tcPr>
          <w:p w14:paraId="61D9A934"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Ocak</w:t>
            </w:r>
          </w:p>
        </w:tc>
        <w:tc>
          <w:tcPr>
            <w:tcW w:w="894" w:type="dxa"/>
            <w:shd w:val="clear" w:color="C6EFCE" w:fill="C6EFCE"/>
            <w:noWrap/>
            <w:vAlign w:val="bottom"/>
            <w:hideMark/>
          </w:tcPr>
          <w:p w14:paraId="763D2227"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6,0%</w:t>
            </w:r>
          </w:p>
        </w:tc>
        <w:tc>
          <w:tcPr>
            <w:tcW w:w="859" w:type="dxa"/>
            <w:shd w:val="clear" w:color="C6EFCE" w:fill="C6EFCE"/>
            <w:noWrap/>
            <w:vAlign w:val="bottom"/>
            <w:hideMark/>
          </w:tcPr>
          <w:p w14:paraId="22543273"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2,3%</w:t>
            </w:r>
          </w:p>
        </w:tc>
        <w:tc>
          <w:tcPr>
            <w:tcW w:w="988" w:type="dxa"/>
            <w:shd w:val="clear" w:color="FFC7CE" w:fill="FFC7CE"/>
            <w:noWrap/>
            <w:vAlign w:val="bottom"/>
            <w:hideMark/>
          </w:tcPr>
          <w:p w14:paraId="1320180F"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-11,8%</w:t>
            </w:r>
          </w:p>
        </w:tc>
        <w:tc>
          <w:tcPr>
            <w:tcW w:w="883" w:type="dxa"/>
            <w:shd w:val="clear" w:color="FFC7CE" w:fill="FFC7CE"/>
            <w:noWrap/>
            <w:vAlign w:val="bottom"/>
            <w:hideMark/>
          </w:tcPr>
          <w:p w14:paraId="5147A65B"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-20,1%</w:t>
            </w:r>
          </w:p>
        </w:tc>
        <w:tc>
          <w:tcPr>
            <w:tcW w:w="960" w:type="dxa"/>
            <w:shd w:val="clear" w:color="FFC7CE" w:fill="FFC7CE"/>
            <w:noWrap/>
            <w:vAlign w:val="bottom"/>
            <w:hideMark/>
          </w:tcPr>
          <w:p w14:paraId="44C5BFA9"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-1,8%</w:t>
            </w:r>
          </w:p>
        </w:tc>
      </w:tr>
      <w:tr w:rsidR="00884FAB" w:rsidRPr="002B6338" w14:paraId="778F0C4D" w14:textId="77777777" w:rsidTr="00F87DC8">
        <w:trPr>
          <w:trHeight w:val="285"/>
          <w:jc w:val="center"/>
        </w:trPr>
        <w:tc>
          <w:tcPr>
            <w:tcW w:w="1116" w:type="dxa"/>
            <w:shd w:val="clear" w:color="DEEAF6" w:fill="DEEAF6"/>
            <w:noWrap/>
            <w:vAlign w:val="bottom"/>
            <w:hideMark/>
          </w:tcPr>
          <w:p w14:paraId="1E449DDD"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Şubat</w:t>
            </w:r>
          </w:p>
        </w:tc>
        <w:tc>
          <w:tcPr>
            <w:tcW w:w="894" w:type="dxa"/>
            <w:shd w:val="clear" w:color="C6EFCE" w:fill="C6EFCE"/>
            <w:noWrap/>
            <w:vAlign w:val="bottom"/>
            <w:hideMark/>
          </w:tcPr>
          <w:p w14:paraId="4968E3C1"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34,6%</w:t>
            </w:r>
          </w:p>
        </w:tc>
        <w:tc>
          <w:tcPr>
            <w:tcW w:w="859" w:type="dxa"/>
            <w:shd w:val="clear" w:color="C6EFCE" w:fill="C6EFCE"/>
            <w:noWrap/>
            <w:vAlign w:val="bottom"/>
            <w:hideMark/>
          </w:tcPr>
          <w:p w14:paraId="57F62CFE"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11,6%</w:t>
            </w:r>
          </w:p>
        </w:tc>
        <w:tc>
          <w:tcPr>
            <w:tcW w:w="988" w:type="dxa"/>
            <w:shd w:val="clear" w:color="C6EFCE" w:fill="C6EFCE"/>
            <w:noWrap/>
            <w:vAlign w:val="bottom"/>
            <w:hideMark/>
          </w:tcPr>
          <w:p w14:paraId="1A28E9DD"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6,2%</w:t>
            </w:r>
          </w:p>
        </w:tc>
        <w:tc>
          <w:tcPr>
            <w:tcW w:w="883" w:type="dxa"/>
            <w:shd w:val="clear" w:color="C6EFCE" w:fill="C6EFCE"/>
            <w:noWrap/>
            <w:vAlign w:val="bottom"/>
            <w:hideMark/>
          </w:tcPr>
          <w:p w14:paraId="2EA071BE"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5,7%</w:t>
            </w:r>
          </w:p>
        </w:tc>
        <w:tc>
          <w:tcPr>
            <w:tcW w:w="960" w:type="dxa"/>
            <w:shd w:val="clear" w:color="C6EFCE" w:fill="C6EFCE"/>
            <w:noWrap/>
            <w:vAlign w:val="bottom"/>
            <w:hideMark/>
          </w:tcPr>
          <w:p w14:paraId="5C38512D"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15,4%</w:t>
            </w:r>
          </w:p>
        </w:tc>
      </w:tr>
      <w:tr w:rsidR="00884FAB" w:rsidRPr="002B6338" w14:paraId="367CD8F2" w14:textId="77777777" w:rsidTr="00F87DC8">
        <w:trPr>
          <w:trHeight w:val="285"/>
          <w:jc w:val="center"/>
        </w:trPr>
        <w:tc>
          <w:tcPr>
            <w:tcW w:w="1116" w:type="dxa"/>
            <w:shd w:val="clear" w:color="DEEAF6" w:fill="DEEAF6"/>
            <w:noWrap/>
            <w:vAlign w:val="bottom"/>
            <w:hideMark/>
          </w:tcPr>
          <w:p w14:paraId="45D7E7D3"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Mart</w:t>
            </w:r>
          </w:p>
        </w:tc>
        <w:tc>
          <w:tcPr>
            <w:tcW w:w="894" w:type="dxa"/>
            <w:shd w:val="clear" w:color="C6EFCE" w:fill="C6EFCE"/>
            <w:noWrap/>
            <w:vAlign w:val="bottom"/>
            <w:hideMark/>
          </w:tcPr>
          <w:p w14:paraId="06E55B41"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19,5%</w:t>
            </w:r>
          </w:p>
        </w:tc>
        <w:tc>
          <w:tcPr>
            <w:tcW w:w="859" w:type="dxa"/>
            <w:shd w:val="clear" w:color="C6EFCE" w:fill="C6EFCE"/>
            <w:noWrap/>
            <w:vAlign w:val="bottom"/>
            <w:hideMark/>
          </w:tcPr>
          <w:p w14:paraId="27EA78AC"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12,7%</w:t>
            </w:r>
          </w:p>
        </w:tc>
        <w:tc>
          <w:tcPr>
            <w:tcW w:w="988" w:type="dxa"/>
            <w:shd w:val="clear" w:color="FFC7CE" w:fill="FFC7CE"/>
            <w:noWrap/>
            <w:vAlign w:val="bottom"/>
            <w:hideMark/>
          </w:tcPr>
          <w:p w14:paraId="692430D4"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-5,1%</w:t>
            </w:r>
          </w:p>
        </w:tc>
        <w:tc>
          <w:tcPr>
            <w:tcW w:w="883" w:type="dxa"/>
            <w:shd w:val="clear" w:color="FFC7CE" w:fill="FFC7CE"/>
            <w:noWrap/>
            <w:vAlign w:val="bottom"/>
            <w:hideMark/>
          </w:tcPr>
          <w:p w14:paraId="2C7226C2"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-7,4%</w:t>
            </w:r>
          </w:p>
        </w:tc>
        <w:tc>
          <w:tcPr>
            <w:tcW w:w="960" w:type="dxa"/>
            <w:shd w:val="clear" w:color="C6EFCE" w:fill="C6EFCE"/>
            <w:noWrap/>
            <w:vAlign w:val="bottom"/>
            <w:hideMark/>
          </w:tcPr>
          <w:p w14:paraId="3245AFFA"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9,4%</w:t>
            </w:r>
          </w:p>
        </w:tc>
      </w:tr>
      <w:tr w:rsidR="00884FAB" w:rsidRPr="002B6338" w14:paraId="61701800" w14:textId="77777777" w:rsidTr="00F87DC8">
        <w:trPr>
          <w:trHeight w:val="285"/>
          <w:jc w:val="center"/>
        </w:trPr>
        <w:tc>
          <w:tcPr>
            <w:tcW w:w="1116" w:type="dxa"/>
            <w:shd w:val="clear" w:color="DEEAF6" w:fill="DEEAF6"/>
            <w:noWrap/>
            <w:vAlign w:val="bottom"/>
            <w:hideMark/>
          </w:tcPr>
          <w:p w14:paraId="6E9B8E8F"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Nisan</w:t>
            </w:r>
          </w:p>
        </w:tc>
        <w:tc>
          <w:tcPr>
            <w:tcW w:w="894" w:type="dxa"/>
            <w:shd w:val="clear" w:color="C6EFCE" w:fill="C6EFCE"/>
            <w:noWrap/>
            <w:vAlign w:val="bottom"/>
            <w:hideMark/>
          </w:tcPr>
          <w:p w14:paraId="60B8EB33"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11,4%</w:t>
            </w:r>
          </w:p>
        </w:tc>
        <w:tc>
          <w:tcPr>
            <w:tcW w:w="859" w:type="dxa"/>
            <w:shd w:val="clear" w:color="FFC7CE" w:fill="FFC7CE"/>
            <w:noWrap/>
            <w:vAlign w:val="bottom"/>
            <w:hideMark/>
          </w:tcPr>
          <w:p w14:paraId="3123E90E"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-2,2%</w:t>
            </w:r>
          </w:p>
        </w:tc>
        <w:tc>
          <w:tcPr>
            <w:tcW w:w="988" w:type="dxa"/>
            <w:shd w:val="clear" w:color="FFC7CE" w:fill="FFC7CE"/>
            <w:noWrap/>
            <w:vAlign w:val="bottom"/>
            <w:hideMark/>
          </w:tcPr>
          <w:p w14:paraId="49B09CA5"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-14,1%</w:t>
            </w:r>
          </w:p>
        </w:tc>
        <w:tc>
          <w:tcPr>
            <w:tcW w:w="883" w:type="dxa"/>
            <w:shd w:val="clear" w:color="C6EFCE" w:fill="C6EFCE"/>
            <w:noWrap/>
            <w:vAlign w:val="bottom"/>
            <w:hideMark/>
          </w:tcPr>
          <w:p w14:paraId="177648A0"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18,4%</w:t>
            </w:r>
          </w:p>
        </w:tc>
        <w:tc>
          <w:tcPr>
            <w:tcW w:w="960" w:type="dxa"/>
            <w:shd w:val="clear" w:color="C6EFCE" w:fill="C6EFCE"/>
            <w:noWrap/>
            <w:vAlign w:val="bottom"/>
            <w:hideMark/>
          </w:tcPr>
          <w:p w14:paraId="2FCCDE12"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2,1%</w:t>
            </w:r>
          </w:p>
        </w:tc>
      </w:tr>
      <w:tr w:rsidR="00884FAB" w:rsidRPr="002B6338" w14:paraId="69E8E352" w14:textId="77777777" w:rsidTr="00F87DC8">
        <w:trPr>
          <w:trHeight w:val="285"/>
          <w:jc w:val="center"/>
        </w:trPr>
        <w:tc>
          <w:tcPr>
            <w:tcW w:w="1116" w:type="dxa"/>
            <w:shd w:val="clear" w:color="DEEAF6" w:fill="DEEAF6"/>
            <w:noWrap/>
            <w:vAlign w:val="bottom"/>
            <w:hideMark/>
          </w:tcPr>
          <w:p w14:paraId="2455B26F"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Mayıs</w:t>
            </w:r>
          </w:p>
        </w:tc>
        <w:tc>
          <w:tcPr>
            <w:tcW w:w="894" w:type="dxa"/>
            <w:shd w:val="clear" w:color="C6EFCE" w:fill="C6EFCE"/>
            <w:noWrap/>
            <w:vAlign w:val="bottom"/>
            <w:hideMark/>
          </w:tcPr>
          <w:p w14:paraId="06AB1E86"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15,9%</w:t>
            </w:r>
          </w:p>
        </w:tc>
        <w:tc>
          <w:tcPr>
            <w:tcW w:w="859" w:type="dxa"/>
            <w:shd w:val="clear" w:color="FFC7CE" w:fill="FFC7CE"/>
            <w:noWrap/>
            <w:vAlign w:val="bottom"/>
            <w:hideMark/>
          </w:tcPr>
          <w:p w14:paraId="6DBEB81E"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-10,7%</w:t>
            </w:r>
          </w:p>
        </w:tc>
        <w:tc>
          <w:tcPr>
            <w:tcW w:w="988" w:type="dxa"/>
            <w:shd w:val="clear" w:color="C6EFCE" w:fill="C6EFCE"/>
            <w:noWrap/>
            <w:vAlign w:val="bottom"/>
            <w:hideMark/>
          </w:tcPr>
          <w:p w14:paraId="48AA5501"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11,1%</w:t>
            </w:r>
          </w:p>
        </w:tc>
        <w:tc>
          <w:tcPr>
            <w:tcW w:w="883" w:type="dxa"/>
            <w:shd w:val="clear" w:color="C6EFCE" w:fill="C6EFCE"/>
            <w:noWrap/>
            <w:vAlign w:val="bottom"/>
            <w:hideMark/>
          </w:tcPr>
          <w:p w14:paraId="498BD5D0"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0,5%</w:t>
            </w:r>
          </w:p>
        </w:tc>
        <w:tc>
          <w:tcPr>
            <w:tcW w:w="960" w:type="dxa"/>
            <w:shd w:val="clear" w:color="FFC7CE" w:fill="FFC7CE"/>
            <w:noWrap/>
            <w:vAlign w:val="bottom"/>
            <w:hideMark/>
          </w:tcPr>
          <w:p w14:paraId="14966D39"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-0,4%</w:t>
            </w:r>
          </w:p>
        </w:tc>
      </w:tr>
      <w:tr w:rsidR="00884FAB" w:rsidRPr="002B6338" w14:paraId="71232CB1" w14:textId="77777777" w:rsidTr="00F87DC8">
        <w:trPr>
          <w:trHeight w:val="285"/>
          <w:jc w:val="center"/>
        </w:trPr>
        <w:tc>
          <w:tcPr>
            <w:tcW w:w="1116" w:type="dxa"/>
            <w:shd w:val="clear" w:color="DEEAF6" w:fill="DEEAF6"/>
            <w:noWrap/>
            <w:vAlign w:val="bottom"/>
            <w:hideMark/>
          </w:tcPr>
          <w:p w14:paraId="2665A2CC"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Haziran</w:t>
            </w:r>
          </w:p>
        </w:tc>
        <w:tc>
          <w:tcPr>
            <w:tcW w:w="894" w:type="dxa"/>
            <w:shd w:val="clear" w:color="FFC7CE" w:fill="FFC7CE"/>
            <w:noWrap/>
            <w:vAlign w:val="bottom"/>
            <w:hideMark/>
          </w:tcPr>
          <w:p w14:paraId="24233611"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-2,9%</w:t>
            </w:r>
          </w:p>
        </w:tc>
        <w:tc>
          <w:tcPr>
            <w:tcW w:w="859" w:type="dxa"/>
            <w:shd w:val="clear" w:color="FFC7CE" w:fill="FFC7CE"/>
            <w:noWrap/>
            <w:vAlign w:val="bottom"/>
            <w:hideMark/>
          </w:tcPr>
          <w:p w14:paraId="75DDE85D"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-5,4%</w:t>
            </w:r>
          </w:p>
        </w:tc>
        <w:tc>
          <w:tcPr>
            <w:tcW w:w="988" w:type="dxa"/>
            <w:shd w:val="clear" w:color="C6EFCE" w:fill="C6EFCE"/>
            <w:noWrap/>
            <w:vAlign w:val="bottom"/>
            <w:hideMark/>
          </w:tcPr>
          <w:p w14:paraId="5D282ED8"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0,1%</w:t>
            </w:r>
          </w:p>
        </w:tc>
        <w:tc>
          <w:tcPr>
            <w:tcW w:w="883" w:type="dxa"/>
            <w:shd w:val="clear" w:color="FFC7CE" w:fill="FFC7CE"/>
            <w:noWrap/>
            <w:vAlign w:val="bottom"/>
            <w:hideMark/>
          </w:tcPr>
          <w:p w14:paraId="699A066F"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-1,0%</w:t>
            </w:r>
          </w:p>
        </w:tc>
        <w:tc>
          <w:tcPr>
            <w:tcW w:w="960" w:type="dxa"/>
            <w:shd w:val="clear" w:color="FFC7CE" w:fill="FFC7CE"/>
            <w:noWrap/>
            <w:vAlign w:val="bottom"/>
            <w:hideMark/>
          </w:tcPr>
          <w:p w14:paraId="54F5B4BA"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-3,5%</w:t>
            </w:r>
          </w:p>
        </w:tc>
      </w:tr>
      <w:tr w:rsidR="00884FAB" w:rsidRPr="002B6338" w14:paraId="68A23775" w14:textId="77777777" w:rsidTr="00F87DC8">
        <w:trPr>
          <w:trHeight w:val="285"/>
          <w:jc w:val="center"/>
        </w:trPr>
        <w:tc>
          <w:tcPr>
            <w:tcW w:w="1116" w:type="dxa"/>
            <w:shd w:val="clear" w:color="DEEAF6" w:fill="DEEAF6"/>
            <w:noWrap/>
            <w:vAlign w:val="bottom"/>
            <w:hideMark/>
          </w:tcPr>
          <w:p w14:paraId="6D767C6E"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Temmuz</w:t>
            </w:r>
          </w:p>
        </w:tc>
        <w:tc>
          <w:tcPr>
            <w:tcW w:w="894" w:type="dxa"/>
            <w:shd w:val="clear" w:color="C6EFCE" w:fill="C6EFCE"/>
            <w:noWrap/>
            <w:vAlign w:val="bottom"/>
            <w:hideMark/>
          </w:tcPr>
          <w:p w14:paraId="75908B28"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15,1%</w:t>
            </w:r>
          </w:p>
        </w:tc>
        <w:tc>
          <w:tcPr>
            <w:tcW w:w="859" w:type="dxa"/>
            <w:shd w:val="clear" w:color="FFC7CE" w:fill="FFC7CE"/>
            <w:noWrap/>
            <w:vAlign w:val="bottom"/>
            <w:hideMark/>
          </w:tcPr>
          <w:p w14:paraId="45377FD5"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-9,0%</w:t>
            </w:r>
          </w:p>
        </w:tc>
        <w:tc>
          <w:tcPr>
            <w:tcW w:w="988" w:type="dxa"/>
            <w:shd w:val="clear" w:color="C6EFCE" w:fill="C6EFCE"/>
            <w:noWrap/>
            <w:vAlign w:val="bottom"/>
            <w:hideMark/>
          </w:tcPr>
          <w:p w14:paraId="7D2FE36B"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1,8%</w:t>
            </w:r>
          </w:p>
        </w:tc>
        <w:tc>
          <w:tcPr>
            <w:tcW w:w="883" w:type="dxa"/>
            <w:shd w:val="clear" w:color="C6EFCE" w:fill="C6EFCE"/>
            <w:noWrap/>
            <w:vAlign w:val="bottom"/>
            <w:hideMark/>
          </w:tcPr>
          <w:p w14:paraId="3134864B"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5,3%</w:t>
            </w:r>
          </w:p>
        </w:tc>
        <w:tc>
          <w:tcPr>
            <w:tcW w:w="960" w:type="dxa"/>
            <w:shd w:val="clear" w:color="FFC7CE" w:fill="FFC7CE"/>
            <w:noWrap/>
            <w:vAlign w:val="bottom"/>
            <w:hideMark/>
          </w:tcPr>
          <w:p w14:paraId="4710BFFD"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-0,1%</w:t>
            </w:r>
          </w:p>
        </w:tc>
      </w:tr>
      <w:tr w:rsidR="00884FAB" w:rsidRPr="002B6338" w14:paraId="7F268D48" w14:textId="77777777" w:rsidTr="00F87DC8">
        <w:trPr>
          <w:trHeight w:val="285"/>
          <w:jc w:val="center"/>
        </w:trPr>
        <w:tc>
          <w:tcPr>
            <w:tcW w:w="1116" w:type="dxa"/>
            <w:shd w:val="clear" w:color="DEEAF6" w:fill="DEEAF6"/>
            <w:noWrap/>
            <w:vAlign w:val="bottom"/>
            <w:hideMark/>
          </w:tcPr>
          <w:p w14:paraId="32366895"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Ağustos</w:t>
            </w:r>
          </w:p>
        </w:tc>
        <w:tc>
          <w:tcPr>
            <w:tcW w:w="894" w:type="dxa"/>
            <w:shd w:val="clear" w:color="FFC7CE" w:fill="FFC7CE"/>
            <w:noWrap/>
            <w:vAlign w:val="bottom"/>
            <w:hideMark/>
          </w:tcPr>
          <w:p w14:paraId="6C56F73D"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-0,7%</w:t>
            </w:r>
          </w:p>
        </w:tc>
        <w:tc>
          <w:tcPr>
            <w:tcW w:w="859" w:type="dxa"/>
            <w:shd w:val="clear" w:color="FFC7CE" w:fill="FFC7CE"/>
            <w:noWrap/>
            <w:vAlign w:val="bottom"/>
            <w:hideMark/>
          </w:tcPr>
          <w:p w14:paraId="5F57DA91"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-8,4%</w:t>
            </w:r>
          </w:p>
        </w:tc>
        <w:tc>
          <w:tcPr>
            <w:tcW w:w="988" w:type="dxa"/>
            <w:shd w:val="clear" w:color="C6EFCE" w:fill="C6EFCE"/>
            <w:noWrap/>
            <w:vAlign w:val="bottom"/>
            <w:hideMark/>
          </w:tcPr>
          <w:p w14:paraId="4868CCCF"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5,4%</w:t>
            </w:r>
          </w:p>
        </w:tc>
        <w:tc>
          <w:tcPr>
            <w:tcW w:w="883" w:type="dxa"/>
            <w:shd w:val="clear" w:color="C6EFCE" w:fill="C6EFCE"/>
            <w:noWrap/>
            <w:vAlign w:val="bottom"/>
            <w:hideMark/>
          </w:tcPr>
          <w:p w14:paraId="7785FCC2"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2,5%</w:t>
            </w:r>
          </w:p>
        </w:tc>
        <w:tc>
          <w:tcPr>
            <w:tcW w:w="960" w:type="dxa"/>
            <w:shd w:val="clear" w:color="FFC7CE" w:fill="FFC7CE"/>
            <w:noWrap/>
            <w:vAlign w:val="bottom"/>
            <w:hideMark/>
          </w:tcPr>
          <w:p w14:paraId="6A3E9D54"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-3,3%</w:t>
            </w:r>
          </w:p>
        </w:tc>
      </w:tr>
      <w:tr w:rsidR="00884FAB" w:rsidRPr="002B6338" w14:paraId="6CED84D2" w14:textId="77777777" w:rsidTr="00F87DC8">
        <w:trPr>
          <w:trHeight w:val="285"/>
          <w:jc w:val="center"/>
        </w:trPr>
        <w:tc>
          <w:tcPr>
            <w:tcW w:w="1116" w:type="dxa"/>
            <w:shd w:val="clear" w:color="DEEAF6" w:fill="DEEAF6"/>
            <w:noWrap/>
            <w:vAlign w:val="bottom"/>
            <w:hideMark/>
          </w:tcPr>
          <w:p w14:paraId="05070755"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Eylül</w:t>
            </w:r>
          </w:p>
        </w:tc>
        <w:tc>
          <w:tcPr>
            <w:tcW w:w="894" w:type="dxa"/>
            <w:shd w:val="clear" w:color="FFC7CE" w:fill="FFC7CE"/>
            <w:noWrap/>
            <w:vAlign w:val="bottom"/>
            <w:hideMark/>
          </w:tcPr>
          <w:p w14:paraId="79B10B3C"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-8,1%</w:t>
            </w:r>
          </w:p>
        </w:tc>
        <w:tc>
          <w:tcPr>
            <w:tcW w:w="859" w:type="dxa"/>
            <w:shd w:val="clear" w:color="FFC7CE" w:fill="FFC7CE"/>
            <w:noWrap/>
            <w:vAlign w:val="bottom"/>
            <w:hideMark/>
          </w:tcPr>
          <w:p w14:paraId="18090851"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-0,8%</w:t>
            </w:r>
          </w:p>
        </w:tc>
        <w:tc>
          <w:tcPr>
            <w:tcW w:w="988" w:type="dxa"/>
            <w:shd w:val="clear" w:color="C6EFCE" w:fill="C6EFCE"/>
            <w:noWrap/>
            <w:vAlign w:val="bottom"/>
            <w:hideMark/>
          </w:tcPr>
          <w:p w14:paraId="2D90C74C"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4,4%</w:t>
            </w:r>
          </w:p>
        </w:tc>
        <w:tc>
          <w:tcPr>
            <w:tcW w:w="883" w:type="dxa"/>
            <w:shd w:val="clear" w:color="C6EFCE" w:fill="C6EFCE"/>
            <w:noWrap/>
            <w:vAlign w:val="bottom"/>
            <w:hideMark/>
          </w:tcPr>
          <w:p w14:paraId="263A671B"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3,2%</w:t>
            </w:r>
          </w:p>
        </w:tc>
        <w:tc>
          <w:tcPr>
            <w:tcW w:w="960" w:type="dxa"/>
            <w:shd w:val="clear" w:color="FFC7CE" w:fill="FFC7CE"/>
            <w:noWrap/>
            <w:vAlign w:val="bottom"/>
            <w:hideMark/>
          </w:tcPr>
          <w:p w14:paraId="29924F00"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-1,8%</w:t>
            </w:r>
          </w:p>
        </w:tc>
      </w:tr>
      <w:tr w:rsidR="00884FAB" w:rsidRPr="002B6338" w14:paraId="652EF77D" w14:textId="77777777" w:rsidTr="00F87DC8">
        <w:trPr>
          <w:trHeight w:val="285"/>
          <w:jc w:val="center"/>
        </w:trPr>
        <w:tc>
          <w:tcPr>
            <w:tcW w:w="1116" w:type="dxa"/>
            <w:shd w:val="clear" w:color="DEEAF6" w:fill="DEEAF6"/>
            <w:noWrap/>
            <w:vAlign w:val="bottom"/>
            <w:hideMark/>
          </w:tcPr>
          <w:p w14:paraId="6F0D539D"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Ekim</w:t>
            </w:r>
          </w:p>
        </w:tc>
        <w:tc>
          <w:tcPr>
            <w:tcW w:w="894" w:type="dxa"/>
            <w:shd w:val="clear" w:color="FFC7CE" w:fill="FFC7CE"/>
            <w:noWrap/>
            <w:vAlign w:val="bottom"/>
            <w:hideMark/>
          </w:tcPr>
          <w:p w14:paraId="6D4D9A74"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-6,4%</w:t>
            </w:r>
          </w:p>
        </w:tc>
        <w:tc>
          <w:tcPr>
            <w:tcW w:w="859" w:type="dxa"/>
            <w:shd w:val="clear" w:color="FFC7CE" w:fill="FFC7CE"/>
            <w:noWrap/>
            <w:vAlign w:val="bottom"/>
            <w:hideMark/>
          </w:tcPr>
          <w:p w14:paraId="552B4E0C"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-0,9%</w:t>
            </w:r>
          </w:p>
        </w:tc>
        <w:tc>
          <w:tcPr>
            <w:tcW w:w="988" w:type="dxa"/>
            <w:shd w:val="clear" w:color="C6EFCE" w:fill="C6EFCE"/>
            <w:noWrap/>
            <w:vAlign w:val="bottom"/>
            <w:hideMark/>
          </w:tcPr>
          <w:p w14:paraId="795E1093"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7,3%</w:t>
            </w:r>
          </w:p>
        </w:tc>
        <w:tc>
          <w:tcPr>
            <w:tcW w:w="883" w:type="dxa"/>
            <w:shd w:val="clear" w:color="C6EFCE" w:fill="C6EFCE"/>
            <w:noWrap/>
            <w:vAlign w:val="bottom"/>
            <w:hideMark/>
          </w:tcPr>
          <w:p w14:paraId="28AEDF06"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8,9%</w:t>
            </w:r>
          </w:p>
        </w:tc>
        <w:tc>
          <w:tcPr>
            <w:tcW w:w="960" w:type="dxa"/>
            <w:shd w:val="clear" w:color="FFC7CE" w:fill="FFC7CE"/>
            <w:noWrap/>
            <w:vAlign w:val="bottom"/>
            <w:hideMark/>
          </w:tcPr>
          <w:p w14:paraId="57AEBA53"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-0,4%</w:t>
            </w:r>
          </w:p>
        </w:tc>
      </w:tr>
      <w:tr w:rsidR="00884FAB" w:rsidRPr="002B6338" w14:paraId="65248205" w14:textId="77777777" w:rsidTr="00F87DC8">
        <w:trPr>
          <w:trHeight w:val="285"/>
          <w:jc w:val="center"/>
        </w:trPr>
        <w:tc>
          <w:tcPr>
            <w:tcW w:w="1116" w:type="dxa"/>
            <w:shd w:val="clear" w:color="DEEAF6" w:fill="DEEAF6"/>
            <w:noWrap/>
            <w:vAlign w:val="bottom"/>
            <w:hideMark/>
          </w:tcPr>
          <w:p w14:paraId="55D9617B"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Kasım</w:t>
            </w:r>
          </w:p>
        </w:tc>
        <w:tc>
          <w:tcPr>
            <w:tcW w:w="894" w:type="dxa"/>
            <w:shd w:val="clear" w:color="FFC7CE" w:fill="FFC7CE"/>
            <w:noWrap/>
            <w:vAlign w:val="bottom"/>
            <w:hideMark/>
          </w:tcPr>
          <w:p w14:paraId="0F7D9B2E"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-0,8%</w:t>
            </w:r>
          </w:p>
        </w:tc>
        <w:tc>
          <w:tcPr>
            <w:tcW w:w="859" w:type="dxa"/>
            <w:shd w:val="clear" w:color="C6EFCE" w:fill="C6EFCE"/>
            <w:noWrap/>
            <w:vAlign w:val="bottom"/>
            <w:hideMark/>
          </w:tcPr>
          <w:p w14:paraId="60B6F1FA"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20,2%</w:t>
            </w:r>
          </w:p>
        </w:tc>
        <w:tc>
          <w:tcPr>
            <w:tcW w:w="988" w:type="dxa"/>
            <w:shd w:val="clear" w:color="C6EFCE" w:fill="C6EFCE"/>
            <w:noWrap/>
            <w:vAlign w:val="bottom"/>
            <w:hideMark/>
          </w:tcPr>
          <w:p w14:paraId="656DDB7C"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6,7%</w:t>
            </w:r>
          </w:p>
        </w:tc>
        <w:tc>
          <w:tcPr>
            <w:tcW w:w="883" w:type="dxa"/>
            <w:shd w:val="clear" w:color="C6EFCE" w:fill="C6EFCE"/>
            <w:noWrap/>
            <w:vAlign w:val="bottom"/>
            <w:hideMark/>
          </w:tcPr>
          <w:p w14:paraId="428A11D1"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32,4%</w:t>
            </w:r>
          </w:p>
        </w:tc>
        <w:tc>
          <w:tcPr>
            <w:tcW w:w="960" w:type="dxa"/>
            <w:shd w:val="clear" w:color="C6EFCE" w:fill="C6EFCE"/>
            <w:noWrap/>
            <w:vAlign w:val="bottom"/>
            <w:hideMark/>
          </w:tcPr>
          <w:p w14:paraId="45DA5CBC"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13,7%</w:t>
            </w:r>
          </w:p>
        </w:tc>
      </w:tr>
      <w:tr w:rsidR="00884FAB" w:rsidRPr="002B6338" w14:paraId="3AA74AB8" w14:textId="77777777" w:rsidTr="00F87DC8">
        <w:trPr>
          <w:trHeight w:val="285"/>
          <w:jc w:val="center"/>
        </w:trPr>
        <w:tc>
          <w:tcPr>
            <w:tcW w:w="1116" w:type="dxa"/>
            <w:shd w:val="clear" w:color="DEEAF6" w:fill="DEEAF6"/>
            <w:noWrap/>
            <w:vAlign w:val="bottom"/>
            <w:hideMark/>
          </w:tcPr>
          <w:p w14:paraId="449CDEF8" w14:textId="77777777" w:rsidR="00884FAB" w:rsidRPr="002B6338" w:rsidRDefault="00884FAB">
            <w:pPr>
              <w:spacing w:after="0" w:line="240" w:lineRule="auto"/>
              <w:rPr>
                <w:rFonts w:ascii="Calibri" w:eastAsia="Times New Roman" w:hAnsi="Calibri" w:cs="Calibri"/>
                <w:color w:val="000000"/>
                <w:lang w:eastAsia="tr-TR"/>
              </w:rPr>
            </w:pPr>
            <w:r w:rsidRPr="002B6338">
              <w:rPr>
                <w:rFonts w:ascii="Calibri" w:eastAsia="Times New Roman" w:hAnsi="Calibri" w:cs="Calibri"/>
                <w:color w:val="000000"/>
                <w:lang w:eastAsia="tr-TR"/>
              </w:rPr>
              <w:t>Aralık</w:t>
            </w:r>
          </w:p>
        </w:tc>
        <w:tc>
          <w:tcPr>
            <w:tcW w:w="894" w:type="dxa"/>
            <w:shd w:val="clear" w:color="FFC7CE" w:fill="FFC7CE"/>
            <w:noWrap/>
            <w:vAlign w:val="bottom"/>
            <w:hideMark/>
          </w:tcPr>
          <w:p w14:paraId="5122B22D"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-10,0%</w:t>
            </w:r>
          </w:p>
        </w:tc>
        <w:tc>
          <w:tcPr>
            <w:tcW w:w="859" w:type="dxa"/>
            <w:shd w:val="clear" w:color="C6EFCE" w:fill="C6EFCE"/>
            <w:noWrap/>
            <w:vAlign w:val="bottom"/>
            <w:hideMark/>
          </w:tcPr>
          <w:p w14:paraId="3B1A3945"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2,1%</w:t>
            </w:r>
          </w:p>
        </w:tc>
        <w:tc>
          <w:tcPr>
            <w:tcW w:w="988" w:type="dxa"/>
            <w:shd w:val="clear" w:color="C6EFCE" w:fill="C6EFCE"/>
            <w:noWrap/>
            <w:vAlign w:val="bottom"/>
            <w:hideMark/>
          </w:tcPr>
          <w:p w14:paraId="7813EC7F"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1,6%</w:t>
            </w:r>
          </w:p>
        </w:tc>
        <w:tc>
          <w:tcPr>
            <w:tcW w:w="883" w:type="dxa"/>
            <w:shd w:val="clear" w:color="C6EFCE" w:fill="C6EFCE"/>
            <w:noWrap/>
            <w:vAlign w:val="bottom"/>
            <w:hideMark/>
          </w:tcPr>
          <w:p w14:paraId="2F64BB93" w14:textId="77777777" w:rsidR="00884FAB" w:rsidRPr="002B6338" w:rsidRDefault="00884FAB">
            <w:pPr>
              <w:spacing w:after="0" w:line="240" w:lineRule="auto"/>
              <w:jc w:val="right"/>
              <w:rPr>
                <w:rFonts w:ascii="Calibri" w:eastAsia="Times New Roman" w:hAnsi="Calibri" w:cs="Calibri"/>
                <w:color w:val="006100"/>
                <w:lang w:eastAsia="tr-TR"/>
              </w:rPr>
            </w:pPr>
            <w:r w:rsidRPr="002B6338">
              <w:rPr>
                <w:rFonts w:ascii="Calibri" w:eastAsia="Times New Roman" w:hAnsi="Calibri" w:cs="Calibri"/>
                <w:color w:val="006100"/>
                <w:lang w:eastAsia="tr-TR"/>
              </w:rPr>
              <w:t>5,7%</w:t>
            </w:r>
          </w:p>
        </w:tc>
        <w:tc>
          <w:tcPr>
            <w:tcW w:w="960" w:type="dxa"/>
            <w:shd w:val="clear" w:color="FFC7CE" w:fill="FFC7CE"/>
            <w:noWrap/>
            <w:vAlign w:val="bottom"/>
            <w:hideMark/>
          </w:tcPr>
          <w:p w14:paraId="467CBE8F" w14:textId="77777777" w:rsidR="00884FAB" w:rsidRPr="002B6338" w:rsidRDefault="00884FAB">
            <w:pPr>
              <w:spacing w:after="0" w:line="240" w:lineRule="auto"/>
              <w:jc w:val="right"/>
              <w:rPr>
                <w:rFonts w:ascii="Calibri" w:eastAsia="Times New Roman" w:hAnsi="Calibri" w:cs="Calibri"/>
                <w:color w:val="9C0006"/>
                <w:lang w:eastAsia="tr-TR"/>
              </w:rPr>
            </w:pPr>
            <w:r w:rsidRPr="002B6338">
              <w:rPr>
                <w:rFonts w:ascii="Calibri" w:eastAsia="Times New Roman" w:hAnsi="Calibri" w:cs="Calibri"/>
                <w:color w:val="9C0006"/>
                <w:lang w:eastAsia="tr-TR"/>
              </w:rPr>
              <w:t>-1,0%</w:t>
            </w:r>
          </w:p>
        </w:tc>
      </w:tr>
      <w:tr w:rsidR="00884FAB" w:rsidRPr="002B6338" w14:paraId="04283322" w14:textId="77777777" w:rsidTr="00F87DC8">
        <w:trPr>
          <w:trHeight w:val="285"/>
          <w:jc w:val="center"/>
        </w:trPr>
        <w:tc>
          <w:tcPr>
            <w:tcW w:w="1116" w:type="dxa"/>
            <w:shd w:val="clear" w:color="DEEAF6" w:fill="DEEAF6"/>
            <w:noWrap/>
            <w:vAlign w:val="bottom"/>
            <w:hideMark/>
          </w:tcPr>
          <w:p w14:paraId="3EEA355B" w14:textId="77777777" w:rsidR="00884FAB" w:rsidRPr="002B6338" w:rsidRDefault="00884FAB">
            <w:pPr>
              <w:spacing w:after="0" w:line="240" w:lineRule="auto"/>
              <w:rPr>
                <w:rFonts w:ascii="Calibri" w:eastAsia="Times New Roman" w:hAnsi="Calibri" w:cs="Calibri"/>
                <w:b/>
                <w:bCs/>
                <w:color w:val="000000"/>
                <w:lang w:eastAsia="tr-TR"/>
              </w:rPr>
            </w:pPr>
            <w:r w:rsidRPr="002B6338">
              <w:rPr>
                <w:rFonts w:ascii="Calibri" w:eastAsia="Times New Roman" w:hAnsi="Calibri" w:cs="Calibri"/>
                <w:b/>
                <w:bCs/>
                <w:color w:val="000000"/>
                <w:lang w:eastAsia="tr-TR"/>
              </w:rPr>
              <w:t>Toplam</w:t>
            </w:r>
          </w:p>
        </w:tc>
        <w:tc>
          <w:tcPr>
            <w:tcW w:w="894" w:type="dxa"/>
            <w:shd w:val="clear" w:color="C6EFCE" w:fill="C6EFCE"/>
            <w:noWrap/>
            <w:vAlign w:val="bottom"/>
            <w:hideMark/>
          </w:tcPr>
          <w:p w14:paraId="3A0DCCF5" w14:textId="77777777" w:rsidR="00884FAB" w:rsidRPr="002B6338" w:rsidRDefault="00884FAB">
            <w:pPr>
              <w:spacing w:after="0" w:line="240" w:lineRule="auto"/>
              <w:jc w:val="right"/>
              <w:rPr>
                <w:rFonts w:ascii="Calibri" w:eastAsia="Times New Roman" w:hAnsi="Calibri" w:cs="Calibri"/>
                <w:b/>
                <w:bCs/>
                <w:color w:val="006100"/>
                <w:lang w:eastAsia="tr-TR"/>
              </w:rPr>
            </w:pPr>
            <w:r>
              <w:rPr>
                <w:rFonts w:ascii="Calibri" w:hAnsi="Calibri" w:cs="Calibri"/>
                <w:b/>
                <w:bCs/>
                <w:color w:val="006100"/>
              </w:rPr>
              <w:t>4,99%</w:t>
            </w:r>
          </w:p>
        </w:tc>
        <w:tc>
          <w:tcPr>
            <w:tcW w:w="859" w:type="dxa"/>
            <w:shd w:val="clear" w:color="C6EFCE" w:fill="C6EFCE"/>
            <w:noWrap/>
            <w:vAlign w:val="bottom"/>
            <w:hideMark/>
          </w:tcPr>
          <w:p w14:paraId="3E7CB83C" w14:textId="77777777" w:rsidR="00884FAB" w:rsidRPr="002B6338" w:rsidRDefault="00884FAB">
            <w:pPr>
              <w:spacing w:after="0" w:line="240" w:lineRule="auto"/>
              <w:jc w:val="right"/>
              <w:rPr>
                <w:rFonts w:ascii="Calibri" w:eastAsia="Times New Roman" w:hAnsi="Calibri" w:cs="Calibri"/>
                <w:b/>
                <w:bCs/>
                <w:color w:val="006100"/>
                <w:lang w:eastAsia="tr-TR"/>
              </w:rPr>
            </w:pPr>
            <w:r>
              <w:rPr>
                <w:rFonts w:ascii="Calibri" w:hAnsi="Calibri" w:cs="Calibri"/>
                <w:b/>
                <w:bCs/>
                <w:color w:val="006100"/>
              </w:rPr>
              <w:t>0,36%</w:t>
            </w:r>
          </w:p>
        </w:tc>
        <w:tc>
          <w:tcPr>
            <w:tcW w:w="988" w:type="dxa"/>
            <w:shd w:val="clear" w:color="C6EFCE" w:fill="C6EFCE"/>
            <w:noWrap/>
            <w:vAlign w:val="bottom"/>
            <w:hideMark/>
          </w:tcPr>
          <w:p w14:paraId="51B4987B" w14:textId="77777777" w:rsidR="00884FAB" w:rsidRPr="002B6338" w:rsidRDefault="00884FAB">
            <w:pPr>
              <w:spacing w:after="0" w:line="240" w:lineRule="auto"/>
              <w:jc w:val="right"/>
              <w:rPr>
                <w:rFonts w:ascii="Calibri" w:eastAsia="Times New Roman" w:hAnsi="Calibri" w:cs="Calibri"/>
                <w:b/>
                <w:bCs/>
                <w:color w:val="006100"/>
                <w:lang w:eastAsia="tr-TR"/>
              </w:rPr>
            </w:pPr>
            <w:r>
              <w:rPr>
                <w:rFonts w:ascii="Calibri" w:hAnsi="Calibri" w:cs="Calibri"/>
                <w:b/>
                <w:bCs/>
                <w:color w:val="006100"/>
              </w:rPr>
              <w:t>1,01%</w:t>
            </w:r>
          </w:p>
        </w:tc>
        <w:tc>
          <w:tcPr>
            <w:tcW w:w="883" w:type="dxa"/>
            <w:shd w:val="clear" w:color="C6EFCE" w:fill="C6EFCE"/>
            <w:noWrap/>
            <w:vAlign w:val="bottom"/>
            <w:hideMark/>
          </w:tcPr>
          <w:p w14:paraId="184A99DA" w14:textId="77777777" w:rsidR="00884FAB" w:rsidRPr="002B6338" w:rsidRDefault="00884FAB">
            <w:pPr>
              <w:spacing w:after="0" w:line="240" w:lineRule="auto"/>
              <w:jc w:val="right"/>
              <w:rPr>
                <w:rFonts w:ascii="Calibri" w:eastAsia="Times New Roman" w:hAnsi="Calibri" w:cs="Calibri"/>
                <w:b/>
                <w:bCs/>
                <w:color w:val="006100"/>
                <w:lang w:eastAsia="tr-TR"/>
              </w:rPr>
            </w:pPr>
            <w:r>
              <w:rPr>
                <w:rFonts w:ascii="Calibri" w:hAnsi="Calibri" w:cs="Calibri"/>
                <w:b/>
                <w:bCs/>
                <w:color w:val="006100"/>
              </w:rPr>
              <w:t>3,49%</w:t>
            </w:r>
          </w:p>
        </w:tc>
        <w:tc>
          <w:tcPr>
            <w:tcW w:w="960" w:type="dxa"/>
            <w:shd w:val="clear" w:color="C6EFCE" w:fill="C6EFCE"/>
            <w:noWrap/>
            <w:vAlign w:val="bottom"/>
            <w:hideMark/>
          </w:tcPr>
          <w:p w14:paraId="00FCFAA5" w14:textId="77777777" w:rsidR="00884FAB" w:rsidRPr="002B6338" w:rsidRDefault="00884FAB">
            <w:pPr>
              <w:spacing w:after="0" w:line="240" w:lineRule="auto"/>
              <w:jc w:val="right"/>
              <w:rPr>
                <w:rFonts w:ascii="Calibri" w:eastAsia="Times New Roman" w:hAnsi="Calibri" w:cs="Calibri"/>
                <w:b/>
                <w:bCs/>
                <w:color w:val="006100"/>
                <w:lang w:eastAsia="tr-TR"/>
              </w:rPr>
            </w:pPr>
            <w:r>
              <w:rPr>
                <w:rFonts w:ascii="Calibri" w:hAnsi="Calibri" w:cs="Calibri"/>
                <w:b/>
                <w:bCs/>
                <w:color w:val="006100"/>
              </w:rPr>
              <w:t>2,05%</w:t>
            </w:r>
          </w:p>
        </w:tc>
      </w:tr>
    </w:tbl>
    <w:p w14:paraId="43C89C48" w14:textId="77777777" w:rsidR="00905CFC" w:rsidRDefault="00905CFC" w:rsidP="00884FAB">
      <w:pPr>
        <w:pStyle w:val="ListeParagraf"/>
        <w:tabs>
          <w:tab w:val="left" w:pos="567"/>
        </w:tabs>
        <w:ind w:left="0"/>
        <w:jc w:val="both"/>
        <w:rPr>
          <w:rFonts w:cstheme="minorHAnsi"/>
          <w:b/>
          <w:bCs/>
        </w:rPr>
      </w:pPr>
    </w:p>
    <w:p w14:paraId="60B4DBD9" w14:textId="77777777" w:rsidR="009B46BA" w:rsidRDefault="009B46BA" w:rsidP="00884FAB">
      <w:pPr>
        <w:pStyle w:val="ListeParagraf"/>
        <w:tabs>
          <w:tab w:val="left" w:pos="567"/>
        </w:tabs>
        <w:ind w:left="0"/>
        <w:jc w:val="both"/>
        <w:rPr>
          <w:rFonts w:cstheme="minorHAnsi"/>
          <w:b/>
          <w:bCs/>
        </w:rPr>
      </w:pPr>
    </w:p>
    <w:p w14:paraId="602173C1" w14:textId="5932D0C2" w:rsidR="007D17D3" w:rsidRPr="00905CFC" w:rsidRDefault="00884FAB">
      <w:pPr>
        <w:pStyle w:val="ListeParagraf"/>
        <w:numPr>
          <w:ilvl w:val="1"/>
          <w:numId w:val="1"/>
        </w:numPr>
        <w:tabs>
          <w:tab w:val="left" w:pos="567"/>
        </w:tabs>
        <w:ind w:left="0" w:firstLine="0"/>
        <w:jc w:val="both"/>
        <w:rPr>
          <w:rFonts w:cstheme="minorHAnsi"/>
          <w:sz w:val="24"/>
          <w:szCs w:val="24"/>
        </w:rPr>
      </w:pPr>
      <w:r w:rsidRPr="00905CFC">
        <w:rPr>
          <w:rFonts w:cstheme="minorHAnsi"/>
          <w:b/>
          <w:bCs/>
          <w:sz w:val="24"/>
          <w:szCs w:val="24"/>
        </w:rPr>
        <w:t xml:space="preserve">TÜRKLİM’in </w:t>
      </w:r>
      <w:r w:rsidR="00F878A9">
        <w:rPr>
          <w:rFonts w:cstheme="minorHAnsi"/>
          <w:b/>
          <w:bCs/>
          <w:sz w:val="24"/>
          <w:szCs w:val="24"/>
        </w:rPr>
        <w:t>“</w:t>
      </w:r>
      <w:r w:rsidRPr="00905CFC">
        <w:rPr>
          <w:rFonts w:cstheme="minorHAnsi"/>
          <w:b/>
          <w:bCs/>
          <w:sz w:val="24"/>
          <w:szCs w:val="24"/>
        </w:rPr>
        <w:t>Vizyon 2050</w:t>
      </w:r>
      <w:r w:rsidR="00F878A9">
        <w:rPr>
          <w:rFonts w:cstheme="minorHAnsi"/>
          <w:b/>
          <w:bCs/>
          <w:sz w:val="24"/>
          <w:szCs w:val="24"/>
        </w:rPr>
        <w:t>”</w:t>
      </w:r>
      <w:r w:rsidRPr="00905CFC">
        <w:rPr>
          <w:rFonts w:cstheme="minorHAnsi"/>
          <w:b/>
          <w:bCs/>
          <w:sz w:val="24"/>
          <w:szCs w:val="24"/>
        </w:rPr>
        <w:t xml:space="preserve"> Tahmin Senaryolarına Göre </w:t>
      </w:r>
      <w:r w:rsidR="00A926EB" w:rsidRPr="00905CFC">
        <w:rPr>
          <w:rFonts w:cstheme="minorHAnsi"/>
          <w:b/>
          <w:bCs/>
          <w:sz w:val="24"/>
          <w:szCs w:val="24"/>
        </w:rPr>
        <w:t>Toplam Yükte</w:t>
      </w:r>
      <w:r w:rsidRPr="00905CFC">
        <w:rPr>
          <w:rFonts w:cstheme="minorHAnsi"/>
          <w:b/>
          <w:bCs/>
          <w:sz w:val="24"/>
          <w:szCs w:val="24"/>
        </w:rPr>
        <w:t xml:space="preserve"> Büyüme Beklentisi</w:t>
      </w:r>
    </w:p>
    <w:p w14:paraId="683A4AD9" w14:textId="2A9DA313" w:rsidR="00025766" w:rsidRPr="006C3668" w:rsidRDefault="003D0972" w:rsidP="006C3668">
      <w:pPr>
        <w:jc w:val="both"/>
        <w:rPr>
          <w:rFonts w:cstheme="minorHAnsi"/>
          <w:sz w:val="24"/>
          <w:szCs w:val="24"/>
        </w:rPr>
      </w:pPr>
      <w:r w:rsidRPr="00905CFC">
        <w:rPr>
          <w:rFonts w:cstheme="minorHAnsi"/>
          <w:sz w:val="24"/>
          <w:szCs w:val="24"/>
        </w:rPr>
        <w:t xml:space="preserve">TÜRKLİM tarafından </w:t>
      </w:r>
      <w:r w:rsidR="003616FE" w:rsidRPr="00905CFC">
        <w:rPr>
          <w:rFonts w:cstheme="minorHAnsi"/>
          <w:sz w:val="24"/>
          <w:szCs w:val="24"/>
        </w:rPr>
        <w:t xml:space="preserve">her yıl </w:t>
      </w:r>
      <w:r w:rsidR="00632BDA" w:rsidRPr="00905CFC">
        <w:rPr>
          <w:rFonts w:cstheme="minorHAnsi"/>
          <w:sz w:val="24"/>
          <w:szCs w:val="24"/>
        </w:rPr>
        <w:t>yayınlanan Türkiye Limanları Sektör Raporu</w:t>
      </w:r>
      <w:r w:rsidR="003616FE" w:rsidRPr="00905CFC">
        <w:rPr>
          <w:rFonts w:cstheme="minorHAnsi"/>
          <w:sz w:val="24"/>
          <w:szCs w:val="24"/>
        </w:rPr>
        <w:t xml:space="preserve">’nun 2022 yılındaki </w:t>
      </w:r>
      <w:r w:rsidR="00AC7A41" w:rsidRPr="00905CFC">
        <w:rPr>
          <w:rFonts w:cstheme="minorHAnsi"/>
          <w:sz w:val="24"/>
          <w:szCs w:val="24"/>
        </w:rPr>
        <w:t>raporu</w:t>
      </w:r>
      <w:r w:rsidR="00383AB7" w:rsidRPr="00905CFC">
        <w:rPr>
          <w:rFonts w:cstheme="minorHAnsi"/>
          <w:sz w:val="24"/>
          <w:szCs w:val="24"/>
        </w:rPr>
        <w:t xml:space="preserve"> içinde yer alan </w:t>
      </w:r>
      <w:r w:rsidR="003616FE" w:rsidRPr="00905CFC">
        <w:rPr>
          <w:rFonts w:cstheme="minorHAnsi"/>
          <w:b/>
          <w:bCs/>
          <w:sz w:val="24"/>
          <w:szCs w:val="24"/>
        </w:rPr>
        <w:t>“Vizyon 2050”</w:t>
      </w:r>
      <w:r w:rsidR="003616FE" w:rsidRPr="00905CFC">
        <w:rPr>
          <w:rFonts w:cstheme="minorHAnsi"/>
          <w:sz w:val="24"/>
          <w:szCs w:val="24"/>
        </w:rPr>
        <w:t xml:space="preserve"> </w:t>
      </w:r>
      <w:r w:rsidR="00F8745E" w:rsidRPr="00905CFC">
        <w:rPr>
          <w:rFonts w:cstheme="minorHAnsi"/>
          <w:sz w:val="24"/>
          <w:szCs w:val="24"/>
        </w:rPr>
        <w:t>bölümünde</w:t>
      </w:r>
      <w:r w:rsidR="00D27D18" w:rsidRPr="00905CFC">
        <w:rPr>
          <w:rFonts w:cstheme="minorHAnsi"/>
          <w:sz w:val="24"/>
          <w:szCs w:val="24"/>
        </w:rPr>
        <w:t>ki</w:t>
      </w:r>
      <w:r w:rsidR="00F8745E" w:rsidRPr="00905CFC">
        <w:rPr>
          <w:rFonts w:cstheme="minorHAnsi"/>
          <w:sz w:val="24"/>
          <w:szCs w:val="24"/>
        </w:rPr>
        <w:t xml:space="preserve"> </w:t>
      </w:r>
      <w:r w:rsidR="00F8745E" w:rsidRPr="00905CFC">
        <w:rPr>
          <w:rFonts w:cstheme="minorHAnsi"/>
          <w:b/>
          <w:bCs/>
          <w:sz w:val="24"/>
          <w:szCs w:val="24"/>
        </w:rPr>
        <w:t>“Türkiye Limanları için Talep Tahmini Çalışması”</w:t>
      </w:r>
      <w:r w:rsidR="00D27D18" w:rsidRPr="00905CFC">
        <w:rPr>
          <w:rFonts w:cstheme="minorHAnsi"/>
          <w:sz w:val="24"/>
          <w:szCs w:val="24"/>
        </w:rPr>
        <w:t xml:space="preserve"> hem </w:t>
      </w:r>
      <w:r w:rsidR="00905CFC">
        <w:rPr>
          <w:rFonts w:cstheme="minorHAnsi"/>
          <w:sz w:val="24"/>
          <w:szCs w:val="24"/>
        </w:rPr>
        <w:t>T</w:t>
      </w:r>
      <w:r w:rsidR="00D27D18" w:rsidRPr="00905CFC">
        <w:rPr>
          <w:rFonts w:cstheme="minorHAnsi"/>
          <w:sz w:val="24"/>
          <w:szCs w:val="24"/>
        </w:rPr>
        <w:t xml:space="preserve">oplam </w:t>
      </w:r>
      <w:r w:rsidR="00905CFC">
        <w:rPr>
          <w:rFonts w:cstheme="minorHAnsi"/>
          <w:sz w:val="24"/>
          <w:szCs w:val="24"/>
        </w:rPr>
        <w:t>Y</w:t>
      </w:r>
      <w:r w:rsidR="00D27D18" w:rsidRPr="00905CFC">
        <w:rPr>
          <w:rFonts w:cstheme="minorHAnsi"/>
          <w:sz w:val="24"/>
          <w:szCs w:val="24"/>
        </w:rPr>
        <w:t xml:space="preserve">ükte ve hem de </w:t>
      </w:r>
      <w:r w:rsidR="00905CFC">
        <w:rPr>
          <w:rFonts w:cstheme="minorHAnsi"/>
          <w:sz w:val="24"/>
          <w:szCs w:val="24"/>
        </w:rPr>
        <w:t>K</w:t>
      </w:r>
      <w:r w:rsidR="00D27D18" w:rsidRPr="00905CFC">
        <w:rPr>
          <w:rFonts w:cstheme="minorHAnsi"/>
          <w:sz w:val="24"/>
          <w:szCs w:val="24"/>
        </w:rPr>
        <w:t xml:space="preserve">onteynerde 2050 yılına kadar </w:t>
      </w:r>
      <w:r w:rsidR="00E36BC5" w:rsidRPr="00905CFC">
        <w:rPr>
          <w:rFonts w:cstheme="minorHAnsi"/>
          <w:sz w:val="24"/>
          <w:szCs w:val="24"/>
        </w:rPr>
        <w:t xml:space="preserve">olan </w:t>
      </w:r>
      <w:r w:rsidR="00491B51" w:rsidRPr="00905CFC">
        <w:rPr>
          <w:rFonts w:cstheme="minorHAnsi"/>
          <w:sz w:val="24"/>
          <w:szCs w:val="24"/>
        </w:rPr>
        <w:t xml:space="preserve">yük </w:t>
      </w:r>
      <w:r w:rsidR="00E36BC5" w:rsidRPr="00905CFC">
        <w:rPr>
          <w:rFonts w:cstheme="minorHAnsi"/>
          <w:sz w:val="24"/>
          <w:szCs w:val="24"/>
        </w:rPr>
        <w:t>tahmin</w:t>
      </w:r>
      <w:r w:rsidR="00491B51" w:rsidRPr="00905CFC">
        <w:rPr>
          <w:rFonts w:cstheme="minorHAnsi"/>
          <w:sz w:val="24"/>
          <w:szCs w:val="24"/>
        </w:rPr>
        <w:t xml:space="preserve"> senaryolarını </w:t>
      </w:r>
      <w:r w:rsidR="00E62710" w:rsidRPr="00905CFC">
        <w:rPr>
          <w:rFonts w:cstheme="minorHAnsi"/>
          <w:sz w:val="24"/>
          <w:szCs w:val="24"/>
        </w:rPr>
        <w:t>ortaya ko</w:t>
      </w:r>
      <w:r w:rsidR="0057057B" w:rsidRPr="00905CFC">
        <w:rPr>
          <w:rFonts w:cstheme="minorHAnsi"/>
          <w:sz w:val="24"/>
          <w:szCs w:val="24"/>
        </w:rPr>
        <w:t xml:space="preserve">ymuştur. Türkiye’de </w:t>
      </w:r>
      <w:r w:rsidR="00905CFC">
        <w:rPr>
          <w:rFonts w:cstheme="minorHAnsi"/>
          <w:sz w:val="24"/>
          <w:szCs w:val="24"/>
        </w:rPr>
        <w:t xml:space="preserve">konuyla ilgili tüm kurumlar tarafından </w:t>
      </w:r>
      <w:r w:rsidR="0057057B" w:rsidRPr="00905CFC">
        <w:rPr>
          <w:rFonts w:cstheme="minorHAnsi"/>
          <w:sz w:val="24"/>
          <w:szCs w:val="24"/>
        </w:rPr>
        <w:t xml:space="preserve">referans alınan TÜRKLİM’in bu çalışması </w:t>
      </w:r>
      <w:r w:rsidR="00905CFC">
        <w:rPr>
          <w:rFonts w:cstheme="minorHAnsi"/>
          <w:sz w:val="24"/>
          <w:szCs w:val="24"/>
        </w:rPr>
        <w:t>bu konuda</w:t>
      </w:r>
      <w:r w:rsidR="0057057B" w:rsidRPr="00905CFC">
        <w:rPr>
          <w:rFonts w:cstheme="minorHAnsi"/>
          <w:sz w:val="24"/>
          <w:szCs w:val="24"/>
        </w:rPr>
        <w:t xml:space="preserve"> yapılmış tek çalışmadır. </w:t>
      </w:r>
      <w:r w:rsidR="00E62710" w:rsidRPr="00905CFC">
        <w:rPr>
          <w:rFonts w:cstheme="minorHAnsi"/>
          <w:sz w:val="24"/>
          <w:szCs w:val="24"/>
        </w:rPr>
        <w:t>Bu tahmin çalışmalarının Toplam Yük için olan verileri aşağıda Tablo-</w:t>
      </w:r>
      <w:r w:rsidR="00884FAB" w:rsidRPr="00905CFC">
        <w:rPr>
          <w:rFonts w:cstheme="minorHAnsi"/>
          <w:sz w:val="24"/>
          <w:szCs w:val="24"/>
        </w:rPr>
        <w:t>4</w:t>
      </w:r>
      <w:r w:rsidR="00E62710" w:rsidRPr="00905CFC">
        <w:rPr>
          <w:rFonts w:cstheme="minorHAnsi"/>
          <w:sz w:val="24"/>
          <w:szCs w:val="24"/>
        </w:rPr>
        <w:t xml:space="preserve">’te yer almaktadır. </w:t>
      </w:r>
      <w:r w:rsidR="00D34830" w:rsidRPr="00905CFC">
        <w:rPr>
          <w:rFonts w:cstheme="minorHAnsi"/>
          <w:sz w:val="24"/>
          <w:szCs w:val="24"/>
        </w:rPr>
        <w:t xml:space="preserve">Bu tahmin çalışması içinde </w:t>
      </w:r>
      <w:r w:rsidR="006B02A4" w:rsidRPr="00905CFC">
        <w:rPr>
          <w:rFonts w:cstheme="minorHAnsi"/>
          <w:sz w:val="24"/>
          <w:szCs w:val="24"/>
        </w:rPr>
        <w:t xml:space="preserve">yer </w:t>
      </w:r>
      <w:r w:rsidR="006B02A4" w:rsidRPr="00905CFC">
        <w:rPr>
          <w:rFonts w:cstheme="minorHAnsi"/>
          <w:sz w:val="24"/>
          <w:szCs w:val="24"/>
        </w:rPr>
        <w:lastRenderedPageBreak/>
        <w:t xml:space="preserve">alan verilerden </w:t>
      </w:r>
      <w:r w:rsidR="006B02A4" w:rsidRPr="00905CFC">
        <w:rPr>
          <w:rFonts w:cstheme="minorHAnsi"/>
          <w:b/>
          <w:bCs/>
          <w:sz w:val="24"/>
          <w:szCs w:val="24"/>
        </w:rPr>
        <w:t>“Referans”</w:t>
      </w:r>
      <w:r w:rsidR="006B02A4" w:rsidRPr="00905CFC">
        <w:rPr>
          <w:rFonts w:cstheme="minorHAnsi"/>
          <w:sz w:val="24"/>
          <w:szCs w:val="24"/>
        </w:rPr>
        <w:t xml:space="preserve"> </w:t>
      </w:r>
      <w:r w:rsidR="00FE6138" w:rsidRPr="00905CFC">
        <w:rPr>
          <w:rFonts w:cstheme="minorHAnsi"/>
          <w:sz w:val="24"/>
          <w:szCs w:val="24"/>
        </w:rPr>
        <w:t xml:space="preserve">senaryo </w:t>
      </w:r>
      <w:r w:rsidR="006B02A4" w:rsidRPr="00905CFC">
        <w:rPr>
          <w:rFonts w:cstheme="minorHAnsi"/>
          <w:sz w:val="24"/>
          <w:szCs w:val="24"/>
        </w:rPr>
        <w:t>veri</w:t>
      </w:r>
      <w:r w:rsidR="00FE6138" w:rsidRPr="00905CFC">
        <w:rPr>
          <w:rFonts w:cstheme="minorHAnsi"/>
          <w:sz w:val="24"/>
          <w:szCs w:val="24"/>
        </w:rPr>
        <w:t xml:space="preserve">leri sektörünün </w:t>
      </w:r>
      <w:r w:rsidR="006B02A4" w:rsidRPr="00905CFC">
        <w:rPr>
          <w:rFonts w:cstheme="minorHAnsi"/>
          <w:sz w:val="24"/>
          <w:szCs w:val="24"/>
        </w:rPr>
        <w:t>tahmin çalışmasın</w:t>
      </w:r>
      <w:r w:rsidR="00FE6138" w:rsidRPr="00905CFC">
        <w:rPr>
          <w:rFonts w:cstheme="minorHAnsi"/>
          <w:sz w:val="24"/>
          <w:szCs w:val="24"/>
        </w:rPr>
        <w:t xml:space="preserve">a temel alınmaktadır. </w:t>
      </w:r>
    </w:p>
    <w:p w14:paraId="35D39EC5" w14:textId="44AE27D1" w:rsidR="001A6B51" w:rsidRPr="00905CFC" w:rsidRDefault="001A6B51" w:rsidP="001A6B51">
      <w:pPr>
        <w:jc w:val="center"/>
        <w:rPr>
          <w:rFonts w:cstheme="minorHAnsi"/>
          <w:b/>
          <w:bCs/>
          <w:sz w:val="22"/>
          <w:szCs w:val="22"/>
        </w:rPr>
      </w:pPr>
      <w:r w:rsidRPr="00905CFC">
        <w:rPr>
          <w:rFonts w:cstheme="minorHAnsi"/>
          <w:b/>
          <w:bCs/>
          <w:sz w:val="22"/>
          <w:szCs w:val="22"/>
          <w:u w:val="single"/>
        </w:rPr>
        <w:t>Tablo-</w:t>
      </w:r>
      <w:r w:rsidR="00884FAB" w:rsidRPr="00905CFC">
        <w:rPr>
          <w:rFonts w:cstheme="minorHAnsi"/>
          <w:b/>
          <w:bCs/>
          <w:sz w:val="22"/>
          <w:szCs w:val="22"/>
          <w:u w:val="single"/>
        </w:rPr>
        <w:t>4</w:t>
      </w:r>
      <w:r w:rsidRPr="00905CFC">
        <w:rPr>
          <w:rFonts w:cstheme="minorHAnsi"/>
          <w:b/>
          <w:bCs/>
          <w:sz w:val="22"/>
          <w:szCs w:val="22"/>
          <w:u w:val="single"/>
        </w:rPr>
        <w:t>:</w:t>
      </w:r>
      <w:r w:rsidRPr="00905CFC">
        <w:rPr>
          <w:rFonts w:cstheme="minorHAnsi"/>
          <w:sz w:val="22"/>
          <w:szCs w:val="22"/>
        </w:rPr>
        <w:t xml:space="preserve"> </w:t>
      </w:r>
      <w:r w:rsidRPr="00905CFC">
        <w:rPr>
          <w:rFonts w:cstheme="minorHAnsi"/>
          <w:b/>
          <w:bCs/>
          <w:sz w:val="22"/>
          <w:szCs w:val="22"/>
        </w:rPr>
        <w:t>TÜRKLİM “Vizyon 2050” R</w:t>
      </w:r>
      <w:r w:rsidR="000728D1" w:rsidRPr="00905CFC">
        <w:rPr>
          <w:rFonts w:cstheme="minorHAnsi"/>
          <w:b/>
          <w:bCs/>
          <w:sz w:val="22"/>
          <w:szCs w:val="22"/>
        </w:rPr>
        <w:t>a</w:t>
      </w:r>
      <w:r w:rsidRPr="00905CFC">
        <w:rPr>
          <w:rFonts w:cstheme="minorHAnsi"/>
          <w:b/>
          <w:bCs/>
          <w:sz w:val="22"/>
          <w:szCs w:val="22"/>
        </w:rPr>
        <w:t>poru</w:t>
      </w:r>
      <w:r w:rsidR="000728D1" w:rsidRPr="00905CFC">
        <w:rPr>
          <w:rFonts w:cstheme="minorHAnsi"/>
          <w:b/>
          <w:bCs/>
          <w:sz w:val="22"/>
          <w:szCs w:val="22"/>
        </w:rPr>
        <w:t xml:space="preserve"> Toplam Yük Tahmin Senaryoları</w:t>
      </w:r>
      <w:r w:rsidR="00040EE0" w:rsidRPr="00905CFC">
        <w:rPr>
          <w:rFonts w:cstheme="minorHAnsi"/>
          <w:b/>
          <w:bCs/>
          <w:sz w:val="22"/>
          <w:szCs w:val="22"/>
        </w:rPr>
        <w:t xml:space="preserve"> </w:t>
      </w:r>
      <w:r w:rsidRPr="00905CFC">
        <w:rPr>
          <w:rFonts w:cstheme="minorHAnsi"/>
          <w:b/>
          <w:bCs/>
          <w:sz w:val="22"/>
          <w:szCs w:val="22"/>
        </w:rPr>
        <w:t>(202</w:t>
      </w:r>
      <w:r w:rsidR="000728D1" w:rsidRPr="00905CFC">
        <w:rPr>
          <w:rFonts w:cstheme="minorHAnsi"/>
          <w:b/>
          <w:bCs/>
          <w:sz w:val="22"/>
          <w:szCs w:val="22"/>
        </w:rPr>
        <w:t>5</w:t>
      </w:r>
      <w:r w:rsidRPr="00905CFC">
        <w:rPr>
          <w:rFonts w:cstheme="minorHAnsi"/>
          <w:b/>
          <w:bCs/>
          <w:sz w:val="22"/>
          <w:szCs w:val="22"/>
        </w:rPr>
        <w:t>-20</w:t>
      </w:r>
      <w:r w:rsidR="000728D1" w:rsidRPr="00905CFC">
        <w:rPr>
          <w:rFonts w:cstheme="minorHAnsi"/>
          <w:b/>
          <w:bCs/>
          <w:sz w:val="22"/>
          <w:szCs w:val="22"/>
        </w:rPr>
        <w:t>50</w:t>
      </w:r>
      <w:r w:rsidRPr="00905CFC">
        <w:rPr>
          <w:rFonts w:cstheme="minorHAnsi"/>
          <w:b/>
          <w:bCs/>
          <w:sz w:val="22"/>
          <w:szCs w:val="22"/>
        </w:rPr>
        <w:t>)</w:t>
      </w:r>
    </w:p>
    <w:tbl>
      <w:tblPr>
        <w:tblW w:w="67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317"/>
        <w:gridCol w:w="1029"/>
        <w:gridCol w:w="643"/>
        <w:gridCol w:w="643"/>
        <w:gridCol w:w="643"/>
        <w:gridCol w:w="813"/>
        <w:gridCol w:w="813"/>
        <w:gridCol w:w="813"/>
      </w:tblGrid>
      <w:tr w:rsidR="001A6B51" w:rsidRPr="000369F4" w14:paraId="3C67629C" w14:textId="77777777" w:rsidTr="003D0DBF">
        <w:trPr>
          <w:trHeight w:val="288"/>
          <w:jc w:val="center"/>
        </w:trPr>
        <w:tc>
          <w:tcPr>
            <w:tcW w:w="1317" w:type="dxa"/>
            <w:shd w:val="clear" w:color="auto" w:fill="FFFF00"/>
            <w:noWrap/>
            <w:vAlign w:val="bottom"/>
            <w:hideMark/>
          </w:tcPr>
          <w:p w14:paraId="127EBAD8" w14:textId="482E70DE" w:rsidR="001A6B51" w:rsidRPr="000369F4" w:rsidRDefault="001A6B51" w:rsidP="001A6B51">
            <w:pPr>
              <w:jc w:val="center"/>
              <w:rPr>
                <w:rFonts w:ascii="Calibri" w:hAnsi="Calibri" w:cs="Calibri"/>
                <w:b/>
                <w:bCs/>
                <w:sz w:val="22"/>
                <w:szCs w:val="22"/>
              </w:rPr>
            </w:pPr>
          </w:p>
        </w:tc>
        <w:tc>
          <w:tcPr>
            <w:tcW w:w="1029" w:type="dxa"/>
            <w:shd w:val="clear" w:color="auto" w:fill="FFFF00"/>
            <w:noWrap/>
            <w:vAlign w:val="bottom"/>
            <w:hideMark/>
          </w:tcPr>
          <w:p w14:paraId="22D2AAB1"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Senaryo</w:t>
            </w:r>
          </w:p>
        </w:tc>
        <w:tc>
          <w:tcPr>
            <w:tcW w:w="643" w:type="dxa"/>
            <w:shd w:val="clear" w:color="auto" w:fill="FFFF00"/>
            <w:noWrap/>
            <w:vAlign w:val="bottom"/>
            <w:hideMark/>
          </w:tcPr>
          <w:p w14:paraId="06EB00F3"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2025</w:t>
            </w:r>
          </w:p>
        </w:tc>
        <w:tc>
          <w:tcPr>
            <w:tcW w:w="643" w:type="dxa"/>
            <w:shd w:val="clear" w:color="auto" w:fill="FFFF00"/>
            <w:noWrap/>
            <w:vAlign w:val="bottom"/>
            <w:hideMark/>
          </w:tcPr>
          <w:p w14:paraId="00902A0C"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2030</w:t>
            </w:r>
          </w:p>
        </w:tc>
        <w:tc>
          <w:tcPr>
            <w:tcW w:w="643" w:type="dxa"/>
            <w:shd w:val="clear" w:color="auto" w:fill="FFFF00"/>
            <w:noWrap/>
            <w:vAlign w:val="bottom"/>
            <w:hideMark/>
          </w:tcPr>
          <w:p w14:paraId="35A9B194"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2035</w:t>
            </w:r>
          </w:p>
        </w:tc>
        <w:tc>
          <w:tcPr>
            <w:tcW w:w="813" w:type="dxa"/>
            <w:shd w:val="clear" w:color="auto" w:fill="FFFF00"/>
            <w:noWrap/>
            <w:vAlign w:val="bottom"/>
            <w:hideMark/>
          </w:tcPr>
          <w:p w14:paraId="4A0E3C7B"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2040</w:t>
            </w:r>
          </w:p>
        </w:tc>
        <w:tc>
          <w:tcPr>
            <w:tcW w:w="813" w:type="dxa"/>
            <w:shd w:val="clear" w:color="auto" w:fill="FFFF00"/>
            <w:noWrap/>
            <w:vAlign w:val="bottom"/>
            <w:hideMark/>
          </w:tcPr>
          <w:p w14:paraId="1F330517"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2045</w:t>
            </w:r>
          </w:p>
        </w:tc>
        <w:tc>
          <w:tcPr>
            <w:tcW w:w="813" w:type="dxa"/>
            <w:shd w:val="clear" w:color="auto" w:fill="FFFF00"/>
            <w:noWrap/>
            <w:vAlign w:val="bottom"/>
            <w:hideMark/>
          </w:tcPr>
          <w:p w14:paraId="035704FF"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2050</w:t>
            </w:r>
          </w:p>
        </w:tc>
      </w:tr>
      <w:tr w:rsidR="003D0DBF" w:rsidRPr="000369F4" w14:paraId="0E70D176" w14:textId="77777777" w:rsidTr="003D0DBF">
        <w:trPr>
          <w:trHeight w:val="288"/>
          <w:jc w:val="center"/>
        </w:trPr>
        <w:tc>
          <w:tcPr>
            <w:tcW w:w="1317" w:type="dxa"/>
            <w:vMerge w:val="restart"/>
            <w:shd w:val="clear" w:color="auto" w:fill="auto"/>
            <w:noWrap/>
            <w:vAlign w:val="center"/>
            <w:hideMark/>
          </w:tcPr>
          <w:p w14:paraId="1FBA110A" w14:textId="77777777" w:rsidR="001A6B51" w:rsidRDefault="001A6B51" w:rsidP="001A6B51">
            <w:pPr>
              <w:jc w:val="center"/>
              <w:rPr>
                <w:rFonts w:ascii="Calibri" w:hAnsi="Calibri" w:cs="Calibri"/>
                <w:b/>
                <w:bCs/>
              </w:rPr>
            </w:pPr>
            <w:r>
              <w:rPr>
                <w:rFonts w:ascii="Calibri" w:hAnsi="Calibri" w:cs="Calibri"/>
                <w:b/>
                <w:bCs/>
              </w:rPr>
              <w:t>Toplam Yük</w:t>
            </w:r>
          </w:p>
          <w:p w14:paraId="7E8CE63B" w14:textId="24ECA00A" w:rsidR="001A6B51" w:rsidRPr="000369F4" w:rsidRDefault="001A6B51" w:rsidP="001A6B51">
            <w:pPr>
              <w:jc w:val="center"/>
              <w:rPr>
                <w:rFonts w:ascii="Calibri" w:hAnsi="Calibri" w:cs="Calibri"/>
                <w:b/>
                <w:bCs/>
                <w:sz w:val="22"/>
                <w:szCs w:val="22"/>
              </w:rPr>
            </w:pPr>
          </w:p>
        </w:tc>
        <w:tc>
          <w:tcPr>
            <w:tcW w:w="1029" w:type="dxa"/>
            <w:shd w:val="clear" w:color="auto" w:fill="auto"/>
            <w:noWrap/>
            <w:vAlign w:val="center"/>
            <w:hideMark/>
          </w:tcPr>
          <w:p w14:paraId="7E6973B8"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Kötümser</w:t>
            </w:r>
          </w:p>
        </w:tc>
        <w:tc>
          <w:tcPr>
            <w:tcW w:w="643" w:type="dxa"/>
            <w:shd w:val="clear" w:color="auto" w:fill="auto"/>
            <w:noWrap/>
            <w:hideMark/>
          </w:tcPr>
          <w:p w14:paraId="2E8957A6"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560,2</w:t>
            </w:r>
          </w:p>
        </w:tc>
        <w:tc>
          <w:tcPr>
            <w:tcW w:w="643" w:type="dxa"/>
            <w:shd w:val="clear" w:color="auto" w:fill="auto"/>
            <w:noWrap/>
            <w:hideMark/>
          </w:tcPr>
          <w:p w14:paraId="65F4543E"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653,1</w:t>
            </w:r>
          </w:p>
        </w:tc>
        <w:tc>
          <w:tcPr>
            <w:tcW w:w="643" w:type="dxa"/>
            <w:shd w:val="clear" w:color="auto" w:fill="auto"/>
            <w:noWrap/>
            <w:hideMark/>
          </w:tcPr>
          <w:p w14:paraId="6950BFAA"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749,5</w:t>
            </w:r>
          </w:p>
        </w:tc>
        <w:tc>
          <w:tcPr>
            <w:tcW w:w="813" w:type="dxa"/>
            <w:shd w:val="clear" w:color="auto" w:fill="auto"/>
            <w:noWrap/>
            <w:hideMark/>
          </w:tcPr>
          <w:p w14:paraId="59D5C13C"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855,9</w:t>
            </w:r>
          </w:p>
        </w:tc>
        <w:tc>
          <w:tcPr>
            <w:tcW w:w="813" w:type="dxa"/>
            <w:shd w:val="clear" w:color="auto" w:fill="auto"/>
            <w:noWrap/>
            <w:hideMark/>
          </w:tcPr>
          <w:p w14:paraId="78630AE3"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973,8</w:t>
            </w:r>
          </w:p>
        </w:tc>
        <w:tc>
          <w:tcPr>
            <w:tcW w:w="813" w:type="dxa"/>
            <w:shd w:val="clear" w:color="auto" w:fill="auto"/>
            <w:noWrap/>
            <w:hideMark/>
          </w:tcPr>
          <w:p w14:paraId="0AA59C7B"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1.108,1</w:t>
            </w:r>
          </w:p>
        </w:tc>
      </w:tr>
      <w:tr w:rsidR="001A6B51" w:rsidRPr="000369F4" w14:paraId="7AE57B9C" w14:textId="77777777" w:rsidTr="003D0DBF">
        <w:trPr>
          <w:trHeight w:val="288"/>
          <w:jc w:val="center"/>
        </w:trPr>
        <w:tc>
          <w:tcPr>
            <w:tcW w:w="1317" w:type="dxa"/>
            <w:vMerge/>
            <w:shd w:val="clear" w:color="auto" w:fill="auto"/>
            <w:vAlign w:val="center"/>
            <w:hideMark/>
          </w:tcPr>
          <w:p w14:paraId="192046E1" w14:textId="77777777" w:rsidR="001A6B51" w:rsidRPr="000369F4" w:rsidRDefault="001A6B51" w:rsidP="001A6B51">
            <w:pPr>
              <w:jc w:val="center"/>
              <w:rPr>
                <w:rFonts w:ascii="Calibri" w:hAnsi="Calibri" w:cs="Calibri"/>
                <w:b/>
                <w:bCs/>
                <w:sz w:val="22"/>
                <w:szCs w:val="22"/>
              </w:rPr>
            </w:pPr>
          </w:p>
        </w:tc>
        <w:tc>
          <w:tcPr>
            <w:tcW w:w="1029" w:type="dxa"/>
            <w:shd w:val="clear" w:color="auto" w:fill="FAE2D5" w:themeFill="accent2" w:themeFillTint="33"/>
            <w:noWrap/>
            <w:vAlign w:val="center"/>
            <w:hideMark/>
          </w:tcPr>
          <w:p w14:paraId="064BE342"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Referans</w:t>
            </w:r>
          </w:p>
        </w:tc>
        <w:tc>
          <w:tcPr>
            <w:tcW w:w="643" w:type="dxa"/>
            <w:shd w:val="clear" w:color="auto" w:fill="FAE2D5" w:themeFill="accent2" w:themeFillTint="33"/>
            <w:noWrap/>
            <w:hideMark/>
          </w:tcPr>
          <w:p w14:paraId="285A1353"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596,2</w:t>
            </w:r>
          </w:p>
        </w:tc>
        <w:tc>
          <w:tcPr>
            <w:tcW w:w="643" w:type="dxa"/>
            <w:shd w:val="clear" w:color="auto" w:fill="FAE2D5" w:themeFill="accent2" w:themeFillTint="33"/>
            <w:noWrap/>
            <w:hideMark/>
          </w:tcPr>
          <w:p w14:paraId="22A42169"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713,2</w:t>
            </w:r>
          </w:p>
        </w:tc>
        <w:tc>
          <w:tcPr>
            <w:tcW w:w="643" w:type="dxa"/>
            <w:shd w:val="clear" w:color="auto" w:fill="FAE2D5" w:themeFill="accent2" w:themeFillTint="33"/>
            <w:noWrap/>
            <w:hideMark/>
          </w:tcPr>
          <w:p w14:paraId="0DA26CD9"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838,9</w:t>
            </w:r>
          </w:p>
        </w:tc>
        <w:tc>
          <w:tcPr>
            <w:tcW w:w="813" w:type="dxa"/>
            <w:shd w:val="clear" w:color="auto" w:fill="FAE2D5" w:themeFill="accent2" w:themeFillTint="33"/>
            <w:noWrap/>
            <w:hideMark/>
          </w:tcPr>
          <w:p w14:paraId="2B36810C"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980,3</w:t>
            </w:r>
          </w:p>
        </w:tc>
        <w:tc>
          <w:tcPr>
            <w:tcW w:w="813" w:type="dxa"/>
            <w:shd w:val="clear" w:color="auto" w:fill="FAE2D5" w:themeFill="accent2" w:themeFillTint="33"/>
            <w:noWrap/>
            <w:hideMark/>
          </w:tcPr>
          <w:p w14:paraId="65017662"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1.139,8</w:t>
            </w:r>
          </w:p>
        </w:tc>
        <w:tc>
          <w:tcPr>
            <w:tcW w:w="813" w:type="dxa"/>
            <w:shd w:val="clear" w:color="auto" w:fill="FAE2D5" w:themeFill="accent2" w:themeFillTint="33"/>
            <w:noWrap/>
            <w:hideMark/>
          </w:tcPr>
          <w:p w14:paraId="04278351"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1.323,8</w:t>
            </w:r>
          </w:p>
        </w:tc>
      </w:tr>
      <w:tr w:rsidR="003D0DBF" w:rsidRPr="000369F4" w14:paraId="6BC1FE64" w14:textId="77777777" w:rsidTr="003D0DBF">
        <w:trPr>
          <w:trHeight w:val="288"/>
          <w:jc w:val="center"/>
        </w:trPr>
        <w:tc>
          <w:tcPr>
            <w:tcW w:w="1317" w:type="dxa"/>
            <w:vMerge/>
            <w:shd w:val="clear" w:color="auto" w:fill="auto"/>
            <w:vAlign w:val="center"/>
            <w:hideMark/>
          </w:tcPr>
          <w:p w14:paraId="50C410EC" w14:textId="77777777" w:rsidR="001A6B51" w:rsidRPr="000369F4" w:rsidRDefault="001A6B51" w:rsidP="001A6B51">
            <w:pPr>
              <w:jc w:val="center"/>
              <w:rPr>
                <w:rFonts w:ascii="Calibri" w:hAnsi="Calibri" w:cs="Calibri"/>
                <w:b/>
                <w:bCs/>
                <w:sz w:val="22"/>
                <w:szCs w:val="22"/>
              </w:rPr>
            </w:pPr>
          </w:p>
        </w:tc>
        <w:tc>
          <w:tcPr>
            <w:tcW w:w="1029" w:type="dxa"/>
            <w:shd w:val="clear" w:color="auto" w:fill="auto"/>
            <w:noWrap/>
            <w:vAlign w:val="center"/>
            <w:hideMark/>
          </w:tcPr>
          <w:p w14:paraId="0CCA1451"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İyimser</w:t>
            </w:r>
          </w:p>
        </w:tc>
        <w:tc>
          <w:tcPr>
            <w:tcW w:w="643" w:type="dxa"/>
            <w:shd w:val="clear" w:color="auto" w:fill="auto"/>
            <w:noWrap/>
            <w:hideMark/>
          </w:tcPr>
          <w:p w14:paraId="3F7A0E17"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626,2</w:t>
            </w:r>
          </w:p>
        </w:tc>
        <w:tc>
          <w:tcPr>
            <w:tcW w:w="643" w:type="dxa"/>
            <w:shd w:val="clear" w:color="auto" w:fill="auto"/>
            <w:noWrap/>
            <w:hideMark/>
          </w:tcPr>
          <w:p w14:paraId="487B57B4"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766,5</w:t>
            </w:r>
          </w:p>
        </w:tc>
        <w:tc>
          <w:tcPr>
            <w:tcW w:w="643" w:type="dxa"/>
            <w:shd w:val="clear" w:color="auto" w:fill="auto"/>
            <w:noWrap/>
            <w:hideMark/>
          </w:tcPr>
          <w:p w14:paraId="3EE07BF1"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921,8</w:t>
            </w:r>
          </w:p>
        </w:tc>
        <w:tc>
          <w:tcPr>
            <w:tcW w:w="813" w:type="dxa"/>
            <w:shd w:val="clear" w:color="auto" w:fill="auto"/>
            <w:noWrap/>
            <w:hideMark/>
          </w:tcPr>
          <w:p w14:paraId="44FFA770"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1.100,4</w:t>
            </w:r>
          </w:p>
        </w:tc>
        <w:tc>
          <w:tcPr>
            <w:tcW w:w="813" w:type="dxa"/>
            <w:shd w:val="clear" w:color="auto" w:fill="auto"/>
            <w:noWrap/>
            <w:hideMark/>
          </w:tcPr>
          <w:p w14:paraId="1EC75A31"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1.306,4</w:t>
            </w:r>
          </w:p>
        </w:tc>
        <w:tc>
          <w:tcPr>
            <w:tcW w:w="813" w:type="dxa"/>
            <w:shd w:val="clear" w:color="auto" w:fill="auto"/>
            <w:noWrap/>
            <w:hideMark/>
          </w:tcPr>
          <w:p w14:paraId="60DBCFDB" w14:textId="77777777" w:rsidR="001A6B51" w:rsidRPr="000369F4" w:rsidRDefault="001A6B51" w:rsidP="001A6B51">
            <w:pPr>
              <w:jc w:val="center"/>
              <w:rPr>
                <w:rFonts w:ascii="Calibri" w:hAnsi="Calibri" w:cs="Calibri"/>
                <w:b/>
                <w:bCs/>
                <w:sz w:val="22"/>
                <w:szCs w:val="22"/>
              </w:rPr>
            </w:pPr>
            <w:r w:rsidRPr="000369F4">
              <w:rPr>
                <w:rFonts w:ascii="Calibri" w:hAnsi="Calibri" w:cs="Calibri"/>
                <w:b/>
                <w:bCs/>
                <w:sz w:val="22"/>
                <w:szCs w:val="22"/>
              </w:rPr>
              <w:t>1.548,2</w:t>
            </w:r>
          </w:p>
        </w:tc>
      </w:tr>
    </w:tbl>
    <w:p w14:paraId="0C492982" w14:textId="77777777" w:rsidR="001A6B51" w:rsidRPr="000369F4" w:rsidRDefault="001A6B51" w:rsidP="001A6B51"/>
    <w:p w14:paraId="6DB78F86" w14:textId="2EB79498" w:rsidR="000C7045" w:rsidRPr="00AA1136" w:rsidRDefault="004A6604" w:rsidP="00AA1136">
      <w:pPr>
        <w:jc w:val="both"/>
        <w:rPr>
          <w:rFonts w:cstheme="minorHAnsi"/>
          <w:sz w:val="24"/>
          <w:szCs w:val="24"/>
        </w:rPr>
      </w:pPr>
      <w:r w:rsidRPr="00905CFC">
        <w:rPr>
          <w:rFonts w:cstheme="minorHAnsi"/>
          <w:sz w:val="24"/>
          <w:szCs w:val="24"/>
        </w:rPr>
        <w:t>Aşağıdaki Tablo-</w:t>
      </w:r>
      <w:r w:rsidR="00884FAB" w:rsidRPr="00905CFC">
        <w:rPr>
          <w:rFonts w:cstheme="minorHAnsi"/>
          <w:sz w:val="24"/>
          <w:szCs w:val="24"/>
        </w:rPr>
        <w:t>5</w:t>
      </w:r>
      <w:r w:rsidRPr="00905CFC">
        <w:rPr>
          <w:rFonts w:cstheme="minorHAnsi"/>
          <w:sz w:val="24"/>
          <w:szCs w:val="24"/>
        </w:rPr>
        <w:t>’te</w:t>
      </w:r>
      <w:r w:rsidR="005647B9" w:rsidRPr="00905CFC">
        <w:rPr>
          <w:rFonts w:cstheme="minorHAnsi"/>
          <w:sz w:val="24"/>
          <w:szCs w:val="24"/>
        </w:rPr>
        <w:t xml:space="preserve">, </w:t>
      </w:r>
      <w:r w:rsidRPr="00905CFC">
        <w:rPr>
          <w:rFonts w:cstheme="minorHAnsi"/>
          <w:sz w:val="24"/>
          <w:szCs w:val="24"/>
        </w:rPr>
        <w:t>TÜRKLİM’in “</w:t>
      </w:r>
      <w:r w:rsidRPr="00905CFC">
        <w:rPr>
          <w:rFonts w:cstheme="minorHAnsi"/>
          <w:b/>
          <w:bCs/>
          <w:sz w:val="24"/>
          <w:szCs w:val="24"/>
        </w:rPr>
        <w:t>Vizyon 2050”</w:t>
      </w:r>
      <w:r w:rsidRPr="00905CFC">
        <w:rPr>
          <w:rFonts w:cstheme="minorHAnsi"/>
          <w:sz w:val="24"/>
          <w:szCs w:val="24"/>
        </w:rPr>
        <w:t xml:space="preserve"> raporundaki tahmini senaryo rakamlarına ulaş</w:t>
      </w:r>
      <w:r w:rsidR="005647B9" w:rsidRPr="00905CFC">
        <w:rPr>
          <w:rFonts w:cstheme="minorHAnsi"/>
          <w:sz w:val="24"/>
          <w:szCs w:val="24"/>
        </w:rPr>
        <w:t>ıl</w:t>
      </w:r>
      <w:r w:rsidRPr="00905CFC">
        <w:rPr>
          <w:rFonts w:cstheme="minorHAnsi"/>
          <w:sz w:val="24"/>
          <w:szCs w:val="24"/>
        </w:rPr>
        <w:t xml:space="preserve">ması için </w:t>
      </w:r>
      <w:r w:rsidR="005647B9" w:rsidRPr="00905CFC">
        <w:rPr>
          <w:rFonts w:cstheme="minorHAnsi"/>
          <w:sz w:val="24"/>
          <w:szCs w:val="24"/>
        </w:rPr>
        <w:t xml:space="preserve">limanlarımızın </w:t>
      </w:r>
      <w:r w:rsidR="00D967E5" w:rsidRPr="00905CFC">
        <w:rPr>
          <w:rFonts w:cstheme="minorHAnsi"/>
          <w:sz w:val="24"/>
          <w:szCs w:val="24"/>
        </w:rPr>
        <w:t>2025 yılında elleçlemesi gereken Topl</w:t>
      </w:r>
      <w:r w:rsidR="00AD0B61" w:rsidRPr="00905CFC">
        <w:rPr>
          <w:rFonts w:cstheme="minorHAnsi"/>
          <w:sz w:val="24"/>
          <w:szCs w:val="24"/>
        </w:rPr>
        <w:t>a</w:t>
      </w:r>
      <w:r w:rsidR="00D967E5" w:rsidRPr="00905CFC">
        <w:rPr>
          <w:rFonts w:cstheme="minorHAnsi"/>
          <w:sz w:val="24"/>
          <w:szCs w:val="24"/>
        </w:rPr>
        <w:t xml:space="preserve">m Yük miktarı ve büyüme oranları </w:t>
      </w:r>
      <w:r w:rsidR="005647B9" w:rsidRPr="00905CFC">
        <w:rPr>
          <w:rFonts w:cstheme="minorHAnsi"/>
          <w:sz w:val="24"/>
          <w:szCs w:val="24"/>
        </w:rPr>
        <w:t xml:space="preserve">gösterilmektedir. </w:t>
      </w:r>
      <w:r w:rsidR="00B846B5" w:rsidRPr="00905CFC">
        <w:rPr>
          <w:rFonts w:cstheme="minorHAnsi"/>
          <w:sz w:val="24"/>
          <w:szCs w:val="24"/>
        </w:rPr>
        <w:t xml:space="preserve">Referans senaryoyu baz aldığımızda </w:t>
      </w:r>
      <w:r w:rsidR="00C6791A" w:rsidRPr="00905CFC">
        <w:rPr>
          <w:rFonts w:cstheme="minorHAnsi"/>
          <w:sz w:val="24"/>
          <w:szCs w:val="24"/>
        </w:rPr>
        <w:t xml:space="preserve">2025 yılına ait </w:t>
      </w:r>
      <w:r w:rsidR="00B846B5" w:rsidRPr="00905CFC">
        <w:rPr>
          <w:rFonts w:cstheme="minorHAnsi"/>
          <w:sz w:val="24"/>
          <w:szCs w:val="24"/>
        </w:rPr>
        <w:t xml:space="preserve">elleçleme </w:t>
      </w:r>
      <w:r w:rsidR="00504E48" w:rsidRPr="00905CFC">
        <w:rPr>
          <w:rFonts w:cstheme="minorHAnsi"/>
          <w:sz w:val="24"/>
          <w:szCs w:val="24"/>
        </w:rPr>
        <w:t>rakamı</w:t>
      </w:r>
      <w:r w:rsidR="00483B20">
        <w:rPr>
          <w:rFonts w:cstheme="minorHAnsi"/>
          <w:sz w:val="24"/>
          <w:szCs w:val="24"/>
        </w:rPr>
        <w:t>nın</w:t>
      </w:r>
      <w:r w:rsidR="00504E48" w:rsidRPr="00905CFC">
        <w:rPr>
          <w:rFonts w:cstheme="minorHAnsi"/>
          <w:sz w:val="24"/>
          <w:szCs w:val="24"/>
        </w:rPr>
        <w:t xml:space="preserve"> </w:t>
      </w:r>
      <w:r w:rsidR="00C16413" w:rsidRPr="00483B20">
        <w:rPr>
          <w:rFonts w:cstheme="minorHAnsi"/>
          <w:b/>
          <w:bCs/>
          <w:i/>
          <w:iCs/>
          <w:sz w:val="24"/>
          <w:szCs w:val="24"/>
          <w:u w:val="single"/>
        </w:rPr>
        <w:t>596,2 mil</w:t>
      </w:r>
      <w:r w:rsidR="003C57DF" w:rsidRPr="00483B20">
        <w:rPr>
          <w:rFonts w:cstheme="minorHAnsi"/>
          <w:b/>
          <w:bCs/>
          <w:i/>
          <w:iCs/>
          <w:sz w:val="24"/>
          <w:szCs w:val="24"/>
          <w:u w:val="single"/>
        </w:rPr>
        <w:t>y</w:t>
      </w:r>
      <w:r w:rsidR="00C16413" w:rsidRPr="00483B20">
        <w:rPr>
          <w:rFonts w:cstheme="minorHAnsi"/>
          <w:b/>
          <w:bCs/>
          <w:i/>
          <w:iCs/>
          <w:sz w:val="24"/>
          <w:szCs w:val="24"/>
          <w:u w:val="single"/>
        </w:rPr>
        <w:t>on ton</w:t>
      </w:r>
      <w:r w:rsidR="00040EE0" w:rsidRPr="00905CFC">
        <w:rPr>
          <w:rFonts w:cstheme="minorHAnsi"/>
          <w:sz w:val="24"/>
          <w:szCs w:val="24"/>
        </w:rPr>
        <w:t xml:space="preserve"> ol</w:t>
      </w:r>
      <w:r w:rsidR="00483B20">
        <w:rPr>
          <w:rFonts w:cstheme="minorHAnsi"/>
          <w:sz w:val="24"/>
          <w:szCs w:val="24"/>
        </w:rPr>
        <w:t xml:space="preserve">acağı </w:t>
      </w:r>
      <w:r w:rsidR="00040EE0" w:rsidRPr="00905CFC">
        <w:rPr>
          <w:rFonts w:cstheme="minorHAnsi"/>
          <w:sz w:val="24"/>
          <w:szCs w:val="24"/>
        </w:rPr>
        <w:t xml:space="preserve">öngörülmüştür. </w:t>
      </w:r>
      <w:r w:rsidR="00C16413" w:rsidRPr="00905CFC">
        <w:rPr>
          <w:rFonts w:cstheme="minorHAnsi"/>
          <w:sz w:val="24"/>
          <w:szCs w:val="24"/>
        </w:rPr>
        <w:t xml:space="preserve">2024 yılında </w:t>
      </w:r>
      <w:r w:rsidR="00040EE0" w:rsidRPr="00905CFC">
        <w:rPr>
          <w:rFonts w:cstheme="minorHAnsi"/>
          <w:sz w:val="24"/>
          <w:szCs w:val="24"/>
        </w:rPr>
        <w:t xml:space="preserve">limanlarımızda </w:t>
      </w:r>
      <w:r w:rsidR="00C16413" w:rsidRPr="00905CFC">
        <w:rPr>
          <w:rFonts w:cstheme="minorHAnsi"/>
          <w:sz w:val="24"/>
          <w:szCs w:val="24"/>
        </w:rPr>
        <w:t>531,7 milyon ton</w:t>
      </w:r>
      <w:r w:rsidR="003C57DF" w:rsidRPr="00905CFC">
        <w:rPr>
          <w:rFonts w:cstheme="minorHAnsi"/>
          <w:sz w:val="24"/>
          <w:szCs w:val="24"/>
        </w:rPr>
        <w:t xml:space="preserve"> </w:t>
      </w:r>
      <w:r w:rsidR="00040EE0" w:rsidRPr="00905CFC">
        <w:rPr>
          <w:rFonts w:cstheme="minorHAnsi"/>
          <w:sz w:val="24"/>
          <w:szCs w:val="24"/>
        </w:rPr>
        <w:t>yük elleçlen</w:t>
      </w:r>
      <w:r w:rsidR="00996E7B">
        <w:rPr>
          <w:rFonts w:cstheme="minorHAnsi"/>
          <w:sz w:val="24"/>
          <w:szCs w:val="24"/>
        </w:rPr>
        <w:t xml:space="preserve">miştir. Limancılık sektörümüzün </w:t>
      </w:r>
      <w:r w:rsidR="00B644D3">
        <w:rPr>
          <w:rFonts w:cstheme="minorHAnsi"/>
          <w:sz w:val="24"/>
          <w:szCs w:val="24"/>
        </w:rPr>
        <w:t>“</w:t>
      </w:r>
      <w:r w:rsidR="009A3341" w:rsidRPr="00905CFC">
        <w:rPr>
          <w:rFonts w:cstheme="minorHAnsi"/>
          <w:sz w:val="24"/>
          <w:szCs w:val="24"/>
        </w:rPr>
        <w:t>Vizyon 2050</w:t>
      </w:r>
      <w:r w:rsidR="00B644D3">
        <w:rPr>
          <w:rFonts w:cstheme="minorHAnsi"/>
          <w:sz w:val="24"/>
          <w:szCs w:val="24"/>
        </w:rPr>
        <w:t>”</w:t>
      </w:r>
      <w:r w:rsidR="00626C93" w:rsidRPr="00905CFC">
        <w:rPr>
          <w:rFonts w:cstheme="minorHAnsi"/>
          <w:sz w:val="24"/>
          <w:szCs w:val="24"/>
        </w:rPr>
        <w:t xml:space="preserve"> raporun</w:t>
      </w:r>
      <w:r w:rsidR="00996E7B">
        <w:rPr>
          <w:rFonts w:cstheme="minorHAnsi"/>
          <w:sz w:val="24"/>
          <w:szCs w:val="24"/>
        </w:rPr>
        <w:t xml:space="preserve">da yer alan </w:t>
      </w:r>
      <w:r w:rsidR="00AA1136">
        <w:rPr>
          <w:rFonts w:cstheme="minorHAnsi"/>
          <w:sz w:val="24"/>
          <w:szCs w:val="24"/>
        </w:rPr>
        <w:t xml:space="preserve">ve </w:t>
      </w:r>
      <w:r w:rsidR="00626C93" w:rsidRPr="00905CFC">
        <w:rPr>
          <w:rFonts w:cstheme="minorHAnsi"/>
          <w:sz w:val="24"/>
          <w:szCs w:val="24"/>
        </w:rPr>
        <w:t>2025 yılı için öngör</w:t>
      </w:r>
      <w:r w:rsidR="00AA1136">
        <w:rPr>
          <w:rFonts w:cstheme="minorHAnsi"/>
          <w:sz w:val="24"/>
          <w:szCs w:val="24"/>
        </w:rPr>
        <w:t xml:space="preserve">ülen Referans senaryodaki </w:t>
      </w:r>
      <w:r w:rsidR="00626C93" w:rsidRPr="00905CFC">
        <w:rPr>
          <w:rFonts w:cstheme="minorHAnsi"/>
          <w:sz w:val="24"/>
          <w:szCs w:val="24"/>
        </w:rPr>
        <w:t xml:space="preserve">yük miktarına </w:t>
      </w:r>
      <w:r w:rsidR="00FC68AC" w:rsidRPr="00905CFC">
        <w:rPr>
          <w:rFonts w:cstheme="minorHAnsi"/>
          <w:sz w:val="24"/>
          <w:szCs w:val="24"/>
        </w:rPr>
        <w:t xml:space="preserve">ulaşması için </w:t>
      </w:r>
      <w:r w:rsidR="00AA1136" w:rsidRPr="00905CFC">
        <w:rPr>
          <w:rFonts w:cstheme="minorHAnsi"/>
          <w:sz w:val="24"/>
          <w:szCs w:val="24"/>
        </w:rPr>
        <w:t xml:space="preserve">2025 yılında </w:t>
      </w:r>
      <w:r w:rsidR="00AD0B61" w:rsidRPr="00905CFC">
        <w:rPr>
          <w:rFonts w:cstheme="minorHAnsi"/>
          <w:sz w:val="24"/>
          <w:szCs w:val="24"/>
        </w:rPr>
        <w:t>2024 yılı</w:t>
      </w:r>
      <w:r w:rsidR="00860E75" w:rsidRPr="00905CFC">
        <w:rPr>
          <w:rFonts w:cstheme="minorHAnsi"/>
          <w:sz w:val="24"/>
          <w:szCs w:val="24"/>
        </w:rPr>
        <w:t>n</w:t>
      </w:r>
      <w:r w:rsidR="00AA1136">
        <w:rPr>
          <w:rFonts w:cstheme="minorHAnsi"/>
          <w:sz w:val="24"/>
          <w:szCs w:val="24"/>
        </w:rPr>
        <w:t xml:space="preserve">a göre </w:t>
      </w:r>
      <w:r w:rsidR="00AD0B61" w:rsidRPr="00AA1136">
        <w:rPr>
          <w:rFonts w:cstheme="minorHAnsi"/>
          <w:b/>
          <w:bCs/>
          <w:i/>
          <w:iCs/>
          <w:sz w:val="24"/>
          <w:szCs w:val="24"/>
          <w:u w:val="single"/>
        </w:rPr>
        <w:t>64,6 milyon ton</w:t>
      </w:r>
      <w:r w:rsidR="00AD0B61" w:rsidRPr="00905CFC">
        <w:rPr>
          <w:rFonts w:cstheme="minorHAnsi"/>
          <w:sz w:val="24"/>
          <w:szCs w:val="24"/>
        </w:rPr>
        <w:t xml:space="preserve"> </w:t>
      </w:r>
      <w:r w:rsidR="00860E75" w:rsidRPr="00905CFC">
        <w:rPr>
          <w:rFonts w:cstheme="minorHAnsi"/>
          <w:sz w:val="24"/>
          <w:szCs w:val="24"/>
        </w:rPr>
        <w:t xml:space="preserve">daha fazla </w:t>
      </w:r>
      <w:r w:rsidR="00AD0B61" w:rsidRPr="00905CFC">
        <w:rPr>
          <w:rFonts w:cstheme="minorHAnsi"/>
          <w:sz w:val="24"/>
          <w:szCs w:val="24"/>
        </w:rPr>
        <w:t xml:space="preserve">yük elleçlemesi </w:t>
      </w:r>
      <w:r w:rsidR="006922C1" w:rsidRPr="00905CFC">
        <w:rPr>
          <w:rFonts w:cstheme="minorHAnsi"/>
          <w:sz w:val="24"/>
          <w:szCs w:val="24"/>
        </w:rPr>
        <w:t xml:space="preserve">ve minimum </w:t>
      </w:r>
      <w:r w:rsidR="006922C1" w:rsidRPr="00AA1136">
        <w:rPr>
          <w:rFonts w:cstheme="minorHAnsi"/>
          <w:b/>
          <w:bCs/>
          <w:i/>
          <w:iCs/>
          <w:sz w:val="24"/>
          <w:szCs w:val="24"/>
          <w:u w:val="single"/>
        </w:rPr>
        <w:t>%12</w:t>
      </w:r>
      <w:r w:rsidR="00DB1608" w:rsidRPr="00AA1136">
        <w:rPr>
          <w:rFonts w:cstheme="minorHAnsi"/>
          <w:b/>
          <w:bCs/>
          <w:i/>
          <w:iCs/>
          <w:sz w:val="24"/>
          <w:szCs w:val="24"/>
          <w:u w:val="single"/>
        </w:rPr>
        <w:t>,</w:t>
      </w:r>
      <w:r w:rsidR="006922C1" w:rsidRPr="00AA1136">
        <w:rPr>
          <w:rFonts w:cstheme="minorHAnsi"/>
          <w:b/>
          <w:bCs/>
          <w:i/>
          <w:iCs/>
          <w:sz w:val="24"/>
          <w:szCs w:val="24"/>
          <w:u w:val="single"/>
        </w:rPr>
        <w:t>1</w:t>
      </w:r>
      <w:r w:rsidR="006922C1" w:rsidRPr="00905CFC">
        <w:rPr>
          <w:rFonts w:cstheme="minorHAnsi"/>
          <w:sz w:val="24"/>
          <w:szCs w:val="24"/>
        </w:rPr>
        <w:t xml:space="preserve"> oranında büyümesi gerekecektir</w:t>
      </w:r>
      <w:r w:rsidR="00DB1608" w:rsidRPr="00905CFC">
        <w:rPr>
          <w:rFonts w:cstheme="minorHAnsi"/>
          <w:sz w:val="24"/>
          <w:szCs w:val="24"/>
        </w:rPr>
        <w:t xml:space="preserve">. </w:t>
      </w:r>
    </w:p>
    <w:p w14:paraId="430149C0" w14:textId="30F97984" w:rsidR="007D17D3" w:rsidRPr="00905CFC" w:rsidRDefault="00504E48" w:rsidP="004A6604">
      <w:pPr>
        <w:jc w:val="center"/>
        <w:rPr>
          <w:rFonts w:cstheme="minorHAnsi"/>
          <w:b/>
          <w:bCs/>
          <w:sz w:val="22"/>
          <w:szCs w:val="22"/>
        </w:rPr>
      </w:pPr>
      <w:r w:rsidRPr="00905CFC">
        <w:rPr>
          <w:rFonts w:cstheme="minorHAnsi"/>
          <w:b/>
          <w:bCs/>
          <w:sz w:val="22"/>
          <w:szCs w:val="22"/>
          <w:u w:val="single"/>
        </w:rPr>
        <w:t>Tablo-</w:t>
      </w:r>
      <w:r w:rsidR="00884FAB" w:rsidRPr="00905CFC">
        <w:rPr>
          <w:rFonts w:cstheme="minorHAnsi"/>
          <w:b/>
          <w:bCs/>
          <w:sz w:val="22"/>
          <w:szCs w:val="22"/>
          <w:u w:val="single"/>
        </w:rPr>
        <w:t>5</w:t>
      </w:r>
      <w:r w:rsidRPr="00905CFC">
        <w:rPr>
          <w:rFonts w:cstheme="minorHAnsi"/>
          <w:b/>
          <w:bCs/>
          <w:sz w:val="22"/>
          <w:szCs w:val="22"/>
          <w:u w:val="single"/>
        </w:rPr>
        <w:t>:</w:t>
      </w:r>
      <w:r w:rsidRPr="00905CFC">
        <w:rPr>
          <w:rFonts w:cstheme="minorHAnsi"/>
          <w:sz w:val="22"/>
          <w:szCs w:val="22"/>
        </w:rPr>
        <w:t xml:space="preserve"> </w:t>
      </w:r>
      <w:r w:rsidRPr="00905CFC">
        <w:rPr>
          <w:rFonts w:cstheme="minorHAnsi"/>
          <w:b/>
          <w:bCs/>
          <w:sz w:val="22"/>
          <w:szCs w:val="22"/>
        </w:rPr>
        <w:t>TÜRKLİM “Vizyon 2050” Raporu</w:t>
      </w:r>
      <w:r w:rsidR="004A6604" w:rsidRPr="00905CFC">
        <w:rPr>
          <w:rFonts w:cstheme="minorHAnsi"/>
          <w:b/>
          <w:bCs/>
          <w:sz w:val="22"/>
          <w:szCs w:val="22"/>
        </w:rPr>
        <w:t xml:space="preserve"> Senaryosu 2025 Yılı Gerçekleşme Beklentisi </w:t>
      </w:r>
    </w:p>
    <w:tbl>
      <w:tblPr>
        <w:tblW w:w="9195" w:type="dxa"/>
        <w:tblCellMar>
          <w:left w:w="70" w:type="dxa"/>
          <w:right w:w="70" w:type="dxa"/>
        </w:tblCellMar>
        <w:tblLook w:val="04A0" w:firstRow="1" w:lastRow="0" w:firstColumn="1" w:lastColumn="0" w:noHBand="0" w:noVBand="1"/>
      </w:tblPr>
      <w:tblGrid>
        <w:gridCol w:w="1726"/>
        <w:gridCol w:w="1572"/>
        <w:gridCol w:w="1470"/>
        <w:gridCol w:w="1453"/>
        <w:gridCol w:w="1709"/>
        <w:gridCol w:w="1265"/>
      </w:tblGrid>
      <w:tr w:rsidR="007E4B5A" w:rsidRPr="007E4B5A" w14:paraId="500A6999" w14:textId="77777777" w:rsidTr="00860E75">
        <w:trPr>
          <w:trHeight w:val="870"/>
        </w:trPr>
        <w:tc>
          <w:tcPr>
            <w:tcW w:w="1726" w:type="dxa"/>
            <w:tcBorders>
              <w:top w:val="nil"/>
              <w:left w:val="nil"/>
              <w:bottom w:val="single" w:sz="12" w:space="0" w:color="auto"/>
              <w:right w:val="single" w:sz="12" w:space="0" w:color="auto"/>
            </w:tcBorders>
            <w:shd w:val="clear" w:color="auto" w:fill="auto"/>
            <w:noWrap/>
            <w:vAlign w:val="bottom"/>
            <w:hideMark/>
          </w:tcPr>
          <w:p w14:paraId="3B85B047" w14:textId="77777777" w:rsidR="007E4B5A" w:rsidRPr="007E4B5A" w:rsidRDefault="007E4B5A" w:rsidP="007E4B5A">
            <w:pPr>
              <w:spacing w:after="0" w:line="240" w:lineRule="auto"/>
              <w:rPr>
                <w:rFonts w:ascii="Times New Roman" w:eastAsia="Times New Roman" w:hAnsi="Times New Roman" w:cs="Times New Roman"/>
                <w:sz w:val="24"/>
                <w:szCs w:val="24"/>
                <w:lang w:eastAsia="tr-TR"/>
              </w:rPr>
            </w:pPr>
          </w:p>
        </w:tc>
        <w:tc>
          <w:tcPr>
            <w:tcW w:w="1572"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12C85EB9"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2024 Yılı Elleçleme Tonajı (Ton)</w:t>
            </w:r>
          </w:p>
        </w:tc>
        <w:tc>
          <w:tcPr>
            <w:tcW w:w="1470"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2BE6AB43"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lang w:eastAsia="tr-TR"/>
              </w:rPr>
              <w:t>TÜRKLİM Vizyon 2050 Senaryo</w:t>
            </w:r>
          </w:p>
        </w:tc>
        <w:tc>
          <w:tcPr>
            <w:tcW w:w="1453"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4B44EAD4" w14:textId="32826A4A" w:rsidR="007E4B5A" w:rsidRPr="007E4B5A" w:rsidRDefault="00BF29E6" w:rsidP="007E4B5A">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lang w:eastAsia="tr-TR"/>
              </w:rPr>
              <w:t xml:space="preserve">Vizyon 2050 </w:t>
            </w:r>
            <w:r w:rsidR="007E4B5A" w:rsidRPr="007E4B5A">
              <w:rPr>
                <w:rFonts w:ascii="Calibri" w:eastAsia="Times New Roman" w:hAnsi="Calibri" w:cs="Calibri"/>
                <w:b/>
                <w:bCs/>
                <w:lang w:eastAsia="tr-TR"/>
              </w:rPr>
              <w:t>2025 Yılı Tahmin Tona</w:t>
            </w:r>
            <w:r>
              <w:rPr>
                <w:rFonts w:ascii="Calibri" w:eastAsia="Times New Roman" w:hAnsi="Calibri" w:cs="Calibri"/>
                <w:b/>
                <w:bCs/>
                <w:lang w:eastAsia="tr-TR"/>
              </w:rPr>
              <w:t>j</w:t>
            </w:r>
            <w:r w:rsidR="007E4B5A" w:rsidRPr="007E4B5A">
              <w:rPr>
                <w:rFonts w:ascii="Calibri" w:eastAsia="Times New Roman" w:hAnsi="Calibri" w:cs="Calibri"/>
                <w:b/>
                <w:bCs/>
                <w:lang w:eastAsia="tr-TR"/>
              </w:rPr>
              <w:t>ı (Ton)</w:t>
            </w:r>
          </w:p>
        </w:tc>
        <w:tc>
          <w:tcPr>
            <w:tcW w:w="1709"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2DF1976A" w14:textId="5E060C64" w:rsidR="007E4B5A" w:rsidRPr="007E4B5A" w:rsidRDefault="00DD2959" w:rsidP="007E4B5A">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2025 </w:t>
            </w:r>
            <w:r w:rsidR="007E4B5A" w:rsidRPr="007E4B5A">
              <w:rPr>
                <w:rFonts w:ascii="Calibri" w:eastAsia="Times New Roman" w:hAnsi="Calibri" w:cs="Calibri"/>
                <w:b/>
                <w:bCs/>
                <w:color w:val="000000"/>
                <w:lang w:eastAsia="tr-TR"/>
              </w:rPr>
              <w:t>Hedef</w:t>
            </w:r>
            <w:r>
              <w:rPr>
                <w:rFonts w:ascii="Calibri" w:eastAsia="Times New Roman" w:hAnsi="Calibri" w:cs="Calibri"/>
                <w:b/>
                <w:bCs/>
                <w:color w:val="000000"/>
                <w:lang w:eastAsia="tr-TR"/>
              </w:rPr>
              <w:t>i</w:t>
            </w:r>
            <w:r w:rsidR="007E4B5A" w:rsidRPr="007E4B5A">
              <w:rPr>
                <w:rFonts w:ascii="Calibri" w:eastAsia="Times New Roman" w:hAnsi="Calibri" w:cs="Calibri"/>
                <w:b/>
                <w:bCs/>
                <w:color w:val="000000"/>
                <w:lang w:eastAsia="tr-TR"/>
              </w:rPr>
              <w:t xml:space="preserve"> İçin Elleçeleme Tonajı (Ton)</w:t>
            </w:r>
          </w:p>
        </w:tc>
        <w:tc>
          <w:tcPr>
            <w:tcW w:w="1265" w:type="dxa"/>
            <w:tcBorders>
              <w:top w:val="single" w:sz="12" w:space="0" w:color="auto"/>
              <w:left w:val="single" w:sz="12" w:space="0" w:color="auto"/>
              <w:bottom w:val="single" w:sz="12" w:space="0" w:color="auto"/>
              <w:right w:val="single" w:sz="12" w:space="0" w:color="auto"/>
            </w:tcBorders>
            <w:shd w:val="clear" w:color="000000" w:fill="FFFF00"/>
            <w:noWrap/>
            <w:vAlign w:val="center"/>
            <w:hideMark/>
          </w:tcPr>
          <w:p w14:paraId="284A9387" w14:textId="027AA892" w:rsidR="007E4B5A" w:rsidRPr="007E4B5A" w:rsidRDefault="00765497" w:rsidP="007E4B5A">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Hedeflenen </w:t>
            </w:r>
            <w:r w:rsidR="007E4B5A" w:rsidRPr="007E4B5A">
              <w:rPr>
                <w:rFonts w:ascii="Calibri" w:eastAsia="Times New Roman" w:hAnsi="Calibri" w:cs="Calibri"/>
                <w:b/>
                <w:bCs/>
                <w:color w:val="000000"/>
                <w:lang w:eastAsia="tr-TR"/>
              </w:rPr>
              <w:t>Büyüme Oranı</w:t>
            </w:r>
          </w:p>
        </w:tc>
      </w:tr>
      <w:tr w:rsidR="00765497" w:rsidRPr="007E4B5A" w14:paraId="3F1C0373" w14:textId="77777777" w:rsidTr="00860E75">
        <w:trPr>
          <w:trHeight w:val="290"/>
        </w:trPr>
        <w:tc>
          <w:tcPr>
            <w:tcW w:w="1726" w:type="dxa"/>
            <w:vMerge w:val="restart"/>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3A81FE54"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Toplam Yük</w:t>
            </w:r>
          </w:p>
        </w:tc>
        <w:tc>
          <w:tcPr>
            <w:tcW w:w="157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06BE00"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531,7</w:t>
            </w:r>
          </w:p>
        </w:tc>
        <w:tc>
          <w:tcPr>
            <w:tcW w:w="147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B3C58B"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Kötümser</w:t>
            </w:r>
          </w:p>
        </w:tc>
        <w:tc>
          <w:tcPr>
            <w:tcW w:w="145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CAE1A2B"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560,2</w:t>
            </w:r>
          </w:p>
        </w:tc>
        <w:tc>
          <w:tcPr>
            <w:tcW w:w="1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2ED80F"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28,5</w:t>
            </w:r>
          </w:p>
        </w:tc>
        <w:tc>
          <w:tcPr>
            <w:tcW w:w="12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239BC8"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5,4%</w:t>
            </w:r>
          </w:p>
        </w:tc>
      </w:tr>
      <w:tr w:rsidR="00860E75" w:rsidRPr="007E4B5A" w14:paraId="1516F350" w14:textId="77777777" w:rsidTr="00860E75">
        <w:trPr>
          <w:trHeight w:val="290"/>
        </w:trPr>
        <w:tc>
          <w:tcPr>
            <w:tcW w:w="1726" w:type="dxa"/>
            <w:vMerge/>
            <w:tcBorders>
              <w:top w:val="single" w:sz="12" w:space="0" w:color="auto"/>
              <w:left w:val="single" w:sz="12" w:space="0" w:color="auto"/>
              <w:bottom w:val="single" w:sz="12" w:space="0" w:color="auto"/>
              <w:right w:val="single" w:sz="12" w:space="0" w:color="auto"/>
            </w:tcBorders>
            <w:shd w:val="clear" w:color="auto" w:fill="FAE2D5" w:themeFill="accent2" w:themeFillTint="33"/>
            <w:vAlign w:val="center"/>
            <w:hideMark/>
          </w:tcPr>
          <w:p w14:paraId="30BD2AAB" w14:textId="77777777" w:rsidR="007E4B5A" w:rsidRPr="007E4B5A" w:rsidRDefault="007E4B5A" w:rsidP="007E4B5A">
            <w:pPr>
              <w:spacing w:after="0" w:line="240" w:lineRule="auto"/>
              <w:rPr>
                <w:rFonts w:ascii="Calibri" w:eastAsia="Times New Roman" w:hAnsi="Calibri" w:cs="Calibri"/>
                <w:b/>
                <w:bCs/>
                <w:color w:val="000000"/>
                <w:lang w:eastAsia="tr-TR"/>
              </w:rPr>
            </w:pPr>
          </w:p>
        </w:tc>
        <w:tc>
          <w:tcPr>
            <w:tcW w:w="157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1ABE6E"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531,7</w:t>
            </w:r>
          </w:p>
        </w:tc>
        <w:tc>
          <w:tcPr>
            <w:tcW w:w="1470"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710879C5"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lang w:eastAsia="tr-TR"/>
              </w:rPr>
              <w:t>Referans</w:t>
            </w:r>
          </w:p>
        </w:tc>
        <w:tc>
          <w:tcPr>
            <w:tcW w:w="1453"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6D346569"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lang w:eastAsia="tr-TR"/>
              </w:rPr>
              <w:t>596,2</w:t>
            </w:r>
          </w:p>
        </w:tc>
        <w:tc>
          <w:tcPr>
            <w:tcW w:w="1709"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0E236E40"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64,5</w:t>
            </w:r>
          </w:p>
        </w:tc>
        <w:tc>
          <w:tcPr>
            <w:tcW w:w="1265"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00493F88"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12,1%</w:t>
            </w:r>
          </w:p>
        </w:tc>
      </w:tr>
      <w:tr w:rsidR="00765497" w:rsidRPr="007E4B5A" w14:paraId="27D5DFCA" w14:textId="77777777" w:rsidTr="00860E75">
        <w:trPr>
          <w:trHeight w:val="290"/>
        </w:trPr>
        <w:tc>
          <w:tcPr>
            <w:tcW w:w="1726" w:type="dxa"/>
            <w:vMerge/>
            <w:tcBorders>
              <w:top w:val="single" w:sz="12" w:space="0" w:color="auto"/>
              <w:left w:val="single" w:sz="12" w:space="0" w:color="auto"/>
              <w:bottom w:val="single" w:sz="12" w:space="0" w:color="auto"/>
              <w:right w:val="single" w:sz="12" w:space="0" w:color="auto"/>
            </w:tcBorders>
            <w:shd w:val="clear" w:color="auto" w:fill="FAE2D5" w:themeFill="accent2" w:themeFillTint="33"/>
            <w:vAlign w:val="center"/>
            <w:hideMark/>
          </w:tcPr>
          <w:p w14:paraId="2C8112AA" w14:textId="77777777" w:rsidR="007E4B5A" w:rsidRPr="007E4B5A" w:rsidRDefault="007E4B5A" w:rsidP="007E4B5A">
            <w:pPr>
              <w:spacing w:after="0" w:line="240" w:lineRule="auto"/>
              <w:rPr>
                <w:rFonts w:ascii="Calibri" w:eastAsia="Times New Roman" w:hAnsi="Calibri" w:cs="Calibri"/>
                <w:b/>
                <w:bCs/>
                <w:color w:val="000000"/>
                <w:lang w:eastAsia="tr-TR"/>
              </w:rPr>
            </w:pPr>
          </w:p>
        </w:tc>
        <w:tc>
          <w:tcPr>
            <w:tcW w:w="157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B5DA5B"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531,7</w:t>
            </w:r>
          </w:p>
        </w:tc>
        <w:tc>
          <w:tcPr>
            <w:tcW w:w="147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86B5DD"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İyimser</w:t>
            </w:r>
          </w:p>
        </w:tc>
        <w:tc>
          <w:tcPr>
            <w:tcW w:w="145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FBD333"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626,2</w:t>
            </w:r>
          </w:p>
        </w:tc>
        <w:tc>
          <w:tcPr>
            <w:tcW w:w="1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2E2254A"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94,5</w:t>
            </w:r>
          </w:p>
        </w:tc>
        <w:tc>
          <w:tcPr>
            <w:tcW w:w="12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BD78F3" w14:textId="77777777" w:rsidR="007E4B5A" w:rsidRPr="007E4B5A" w:rsidRDefault="007E4B5A" w:rsidP="007E4B5A">
            <w:pPr>
              <w:spacing w:after="0" w:line="240" w:lineRule="auto"/>
              <w:jc w:val="center"/>
              <w:rPr>
                <w:rFonts w:ascii="Calibri" w:eastAsia="Times New Roman" w:hAnsi="Calibri" w:cs="Calibri"/>
                <w:b/>
                <w:bCs/>
                <w:color w:val="000000"/>
                <w:lang w:eastAsia="tr-TR"/>
              </w:rPr>
            </w:pPr>
            <w:r w:rsidRPr="007E4B5A">
              <w:rPr>
                <w:rFonts w:ascii="Calibri" w:eastAsia="Times New Roman" w:hAnsi="Calibri" w:cs="Calibri"/>
                <w:b/>
                <w:bCs/>
                <w:color w:val="000000"/>
                <w:lang w:eastAsia="tr-TR"/>
              </w:rPr>
              <w:t>17,8%</w:t>
            </w:r>
          </w:p>
        </w:tc>
      </w:tr>
    </w:tbl>
    <w:p w14:paraId="2559D524" w14:textId="77777777" w:rsidR="007E4B5A" w:rsidRDefault="007E4B5A" w:rsidP="002B6338">
      <w:pPr>
        <w:jc w:val="both"/>
        <w:rPr>
          <w:rFonts w:cstheme="minorHAnsi"/>
        </w:rPr>
      </w:pPr>
    </w:p>
    <w:p w14:paraId="229655DA" w14:textId="25578575" w:rsidR="009B46BA" w:rsidRPr="00AA1136" w:rsidRDefault="00573C91" w:rsidP="002B6338">
      <w:pPr>
        <w:jc w:val="both"/>
        <w:rPr>
          <w:rFonts w:cstheme="minorHAnsi"/>
          <w:sz w:val="24"/>
          <w:szCs w:val="24"/>
        </w:rPr>
      </w:pPr>
      <w:r>
        <w:rPr>
          <w:rFonts w:cstheme="minorHAnsi"/>
          <w:sz w:val="24"/>
          <w:szCs w:val="24"/>
        </w:rPr>
        <w:t xml:space="preserve">Aşağıdaki </w:t>
      </w:r>
      <w:r w:rsidRPr="00AA1136">
        <w:rPr>
          <w:rFonts w:cstheme="minorHAnsi"/>
          <w:sz w:val="24"/>
          <w:szCs w:val="24"/>
        </w:rPr>
        <w:t>Tablo-6’dan da görüldüğü gibi 2025 yılının Ocak ayında İhracata konu yükler %5,32, İthalata konu yükler %16,29 oranında artarken</w:t>
      </w:r>
      <w:r>
        <w:rPr>
          <w:rFonts w:cstheme="minorHAnsi"/>
          <w:sz w:val="24"/>
          <w:szCs w:val="24"/>
        </w:rPr>
        <w:t>,</w:t>
      </w:r>
      <w:r w:rsidRPr="00AA1136">
        <w:rPr>
          <w:rFonts w:cstheme="minorHAnsi"/>
          <w:sz w:val="24"/>
          <w:szCs w:val="24"/>
        </w:rPr>
        <w:t xml:space="preserve"> Kabotaj</w:t>
      </w:r>
      <w:r>
        <w:rPr>
          <w:rFonts w:cstheme="minorHAnsi"/>
          <w:sz w:val="24"/>
          <w:szCs w:val="24"/>
        </w:rPr>
        <w:t>a konu</w:t>
      </w:r>
      <w:r w:rsidRPr="00AA1136">
        <w:rPr>
          <w:rFonts w:cstheme="minorHAnsi"/>
          <w:sz w:val="24"/>
          <w:szCs w:val="24"/>
        </w:rPr>
        <w:t xml:space="preserve"> yüklerde %15,57 ve Transit yüklerde ise %12,77 oranında bir büyüme yakalanmıştır. </w:t>
      </w:r>
      <w:r w:rsidR="00010BB0">
        <w:rPr>
          <w:rFonts w:cstheme="minorHAnsi"/>
          <w:sz w:val="24"/>
          <w:szCs w:val="24"/>
        </w:rPr>
        <w:t xml:space="preserve">Böylelikle Toplam Yükte 2025 yılının Ocak ayında %12,77 ile son derece olumlu </w:t>
      </w:r>
      <w:r w:rsidR="00010BB0" w:rsidRPr="00AA1136">
        <w:rPr>
          <w:rFonts w:cstheme="minorHAnsi"/>
          <w:sz w:val="24"/>
          <w:szCs w:val="24"/>
        </w:rPr>
        <w:t xml:space="preserve">bir büyüme meydana gelmiştir. </w:t>
      </w:r>
      <w:r w:rsidRPr="00AA1136">
        <w:rPr>
          <w:rFonts w:cstheme="minorHAnsi"/>
          <w:sz w:val="24"/>
          <w:szCs w:val="24"/>
        </w:rPr>
        <w:t xml:space="preserve">2024 yılından farklı olarak imalat sanayinin hammadde ve yarı mamul gereksinimleriyle birlikte İthalata konu yüklerin yeniden arttığı görülmektedir. </w:t>
      </w:r>
      <w:r w:rsidR="00E8273A" w:rsidRPr="00AA1136">
        <w:rPr>
          <w:rFonts w:cstheme="minorHAnsi"/>
          <w:sz w:val="24"/>
          <w:szCs w:val="24"/>
        </w:rPr>
        <w:t>2025 yılının Ocak ayında Toplam Yükte</w:t>
      </w:r>
      <w:r w:rsidR="007C00FA">
        <w:rPr>
          <w:rFonts w:cstheme="minorHAnsi"/>
          <w:sz w:val="24"/>
          <w:szCs w:val="24"/>
        </w:rPr>
        <w:t xml:space="preserve"> gerçekleşen </w:t>
      </w:r>
      <w:r w:rsidR="00E8273A" w:rsidRPr="00AA1136">
        <w:rPr>
          <w:rFonts w:cstheme="minorHAnsi"/>
          <w:sz w:val="24"/>
          <w:szCs w:val="24"/>
        </w:rPr>
        <w:t xml:space="preserve">yük miktarı ve büyüme oranı TÜRKLİM’in “Vizyon 2050”de yer alan </w:t>
      </w:r>
      <w:r w:rsidR="0096635C" w:rsidRPr="008F3DFD">
        <w:rPr>
          <w:rFonts w:cstheme="minorHAnsi"/>
          <w:b/>
          <w:bCs/>
          <w:sz w:val="24"/>
          <w:szCs w:val="24"/>
        </w:rPr>
        <w:t>“</w:t>
      </w:r>
      <w:r w:rsidR="007D6E4F" w:rsidRPr="008F3DFD">
        <w:rPr>
          <w:rFonts w:cstheme="minorHAnsi"/>
          <w:b/>
          <w:bCs/>
          <w:sz w:val="24"/>
          <w:szCs w:val="24"/>
        </w:rPr>
        <w:t>Referans</w:t>
      </w:r>
      <w:r w:rsidR="0096635C" w:rsidRPr="008F3DFD">
        <w:rPr>
          <w:rFonts w:cstheme="minorHAnsi"/>
          <w:b/>
          <w:bCs/>
          <w:sz w:val="24"/>
          <w:szCs w:val="24"/>
        </w:rPr>
        <w:t>”</w:t>
      </w:r>
      <w:r w:rsidR="007D6E4F">
        <w:rPr>
          <w:rFonts w:cstheme="minorHAnsi"/>
          <w:sz w:val="24"/>
          <w:szCs w:val="24"/>
        </w:rPr>
        <w:t xml:space="preserve"> senaryoya uygundur</w:t>
      </w:r>
      <w:r w:rsidR="00010BB0">
        <w:rPr>
          <w:rFonts w:cstheme="minorHAnsi"/>
          <w:sz w:val="24"/>
          <w:szCs w:val="24"/>
        </w:rPr>
        <w:t xml:space="preserve">. </w:t>
      </w:r>
      <w:r w:rsidR="0096635C">
        <w:rPr>
          <w:rFonts w:cstheme="minorHAnsi"/>
          <w:sz w:val="24"/>
          <w:szCs w:val="24"/>
        </w:rPr>
        <w:t xml:space="preserve">Yılın kalan aylarında </w:t>
      </w:r>
      <w:r w:rsidR="00B04F1B">
        <w:rPr>
          <w:rFonts w:cstheme="minorHAnsi"/>
          <w:sz w:val="24"/>
          <w:szCs w:val="24"/>
        </w:rPr>
        <w:t xml:space="preserve">bu oran devam ettiği sürece Vizyon 2050’in öngörüleri gerçekleşmiş olacaktır. Küresel, bölgesel ya da Türkiye’ye özgün önemli bir ekonomik sıkıntı </w:t>
      </w:r>
      <w:r w:rsidR="00B04F1B">
        <w:rPr>
          <w:rFonts w:cstheme="minorHAnsi"/>
          <w:sz w:val="24"/>
          <w:szCs w:val="24"/>
        </w:rPr>
        <w:lastRenderedPageBreak/>
        <w:t xml:space="preserve">olmadığı sürece </w:t>
      </w:r>
      <w:r w:rsidR="00195023">
        <w:rPr>
          <w:rFonts w:cstheme="minorHAnsi"/>
          <w:sz w:val="24"/>
          <w:szCs w:val="24"/>
        </w:rPr>
        <w:t xml:space="preserve">limanlarımızın Vizyon 2050’deki </w:t>
      </w:r>
      <w:r w:rsidR="008F3DFD" w:rsidRPr="008F3DFD">
        <w:rPr>
          <w:rFonts w:cstheme="minorHAnsi"/>
          <w:b/>
          <w:bCs/>
          <w:sz w:val="24"/>
          <w:szCs w:val="24"/>
        </w:rPr>
        <w:t>“</w:t>
      </w:r>
      <w:r w:rsidR="00195023" w:rsidRPr="008F3DFD">
        <w:rPr>
          <w:rFonts w:cstheme="minorHAnsi"/>
          <w:b/>
          <w:bCs/>
          <w:sz w:val="24"/>
          <w:szCs w:val="24"/>
        </w:rPr>
        <w:t>Kötümser</w:t>
      </w:r>
      <w:r w:rsidR="008F3DFD" w:rsidRPr="008F3DFD">
        <w:rPr>
          <w:rFonts w:cstheme="minorHAnsi"/>
          <w:b/>
          <w:bCs/>
          <w:sz w:val="24"/>
          <w:szCs w:val="24"/>
        </w:rPr>
        <w:t>”</w:t>
      </w:r>
      <w:r w:rsidR="00195023">
        <w:rPr>
          <w:rFonts w:cstheme="minorHAnsi"/>
          <w:sz w:val="24"/>
          <w:szCs w:val="24"/>
        </w:rPr>
        <w:t xml:space="preserve"> senaryonun üstünde büyüyeceği açıktır. </w:t>
      </w:r>
    </w:p>
    <w:p w14:paraId="0024DD29" w14:textId="42E3D91D" w:rsidR="00D14077" w:rsidRPr="00AA1136" w:rsidRDefault="00D14077" w:rsidP="00D14077">
      <w:pPr>
        <w:jc w:val="both"/>
        <w:rPr>
          <w:rFonts w:cstheme="minorHAnsi"/>
          <w:sz w:val="24"/>
          <w:szCs w:val="24"/>
        </w:rPr>
      </w:pPr>
      <w:r>
        <w:rPr>
          <w:rFonts w:cstheme="minorHAnsi"/>
          <w:sz w:val="24"/>
          <w:szCs w:val="24"/>
        </w:rPr>
        <w:t xml:space="preserve">Aşağıdaki </w:t>
      </w:r>
      <w:r w:rsidRPr="00AA1136">
        <w:rPr>
          <w:rFonts w:cstheme="minorHAnsi"/>
          <w:sz w:val="24"/>
          <w:szCs w:val="24"/>
        </w:rPr>
        <w:t>Tablo-</w:t>
      </w:r>
      <w:r>
        <w:rPr>
          <w:rFonts w:cstheme="minorHAnsi"/>
          <w:sz w:val="24"/>
          <w:szCs w:val="24"/>
        </w:rPr>
        <w:t>6 ve Tablo-</w:t>
      </w:r>
      <w:r w:rsidRPr="00AA1136">
        <w:rPr>
          <w:rFonts w:cstheme="minorHAnsi"/>
          <w:sz w:val="24"/>
          <w:szCs w:val="24"/>
        </w:rPr>
        <w:t xml:space="preserve">7’ye baktığımızda ise yine 2024 yılından farklı olarak Ocak ayında tüm kargo tiplerinde büyüme görülmektedir. </w:t>
      </w:r>
      <w:r w:rsidR="00F07BEC">
        <w:rPr>
          <w:rFonts w:cstheme="minorHAnsi"/>
          <w:sz w:val="24"/>
          <w:szCs w:val="24"/>
        </w:rPr>
        <w:t xml:space="preserve">2025 yılının Ocak ayında limanlarımızda elleçlenen Toplam Yük 2024 yılının Ocak ayına göre 5,5 milyon ton fazlasıyla %12,77 oranında artmıştır. </w:t>
      </w:r>
      <w:r w:rsidR="004E7291">
        <w:rPr>
          <w:rFonts w:cstheme="minorHAnsi"/>
          <w:sz w:val="24"/>
          <w:szCs w:val="24"/>
        </w:rPr>
        <w:t>İhracat</w:t>
      </w:r>
      <w:r w:rsidR="004C68AF">
        <w:rPr>
          <w:rFonts w:cstheme="minorHAnsi"/>
          <w:sz w:val="24"/>
          <w:szCs w:val="24"/>
        </w:rPr>
        <w:t xml:space="preserve"> (%5,32)</w:t>
      </w:r>
      <w:r w:rsidR="004E7291">
        <w:rPr>
          <w:rFonts w:cstheme="minorHAnsi"/>
          <w:sz w:val="24"/>
          <w:szCs w:val="24"/>
        </w:rPr>
        <w:t xml:space="preserve">, İthalat </w:t>
      </w:r>
      <w:r w:rsidR="004C68AF">
        <w:rPr>
          <w:rFonts w:cstheme="minorHAnsi"/>
          <w:sz w:val="24"/>
          <w:szCs w:val="24"/>
        </w:rPr>
        <w:t xml:space="preserve">(%16,29) </w:t>
      </w:r>
      <w:r w:rsidR="004E7291">
        <w:rPr>
          <w:rFonts w:cstheme="minorHAnsi"/>
          <w:sz w:val="24"/>
          <w:szCs w:val="24"/>
        </w:rPr>
        <w:t xml:space="preserve">ve Kabotaj </w:t>
      </w:r>
      <w:r w:rsidR="004C68AF">
        <w:rPr>
          <w:rFonts w:cstheme="minorHAnsi"/>
          <w:sz w:val="24"/>
          <w:szCs w:val="24"/>
        </w:rPr>
        <w:t>(%14</w:t>
      </w:r>
      <w:r w:rsidR="00A8533D">
        <w:rPr>
          <w:rFonts w:cstheme="minorHAnsi"/>
          <w:sz w:val="24"/>
          <w:szCs w:val="24"/>
        </w:rPr>
        <w:t xml:space="preserve">,57) </w:t>
      </w:r>
      <w:r w:rsidR="004E7291">
        <w:rPr>
          <w:rFonts w:cstheme="minorHAnsi"/>
          <w:sz w:val="24"/>
          <w:szCs w:val="24"/>
        </w:rPr>
        <w:t xml:space="preserve">yükleri de artarken </w:t>
      </w:r>
      <w:r w:rsidR="004C68AF">
        <w:rPr>
          <w:rFonts w:cstheme="minorHAnsi"/>
          <w:sz w:val="24"/>
          <w:szCs w:val="24"/>
        </w:rPr>
        <w:t>ö</w:t>
      </w:r>
      <w:r w:rsidRPr="00AA1136">
        <w:rPr>
          <w:rFonts w:cstheme="minorHAnsi"/>
          <w:sz w:val="24"/>
          <w:szCs w:val="24"/>
        </w:rPr>
        <w:t xml:space="preserve">zellikle </w:t>
      </w:r>
      <w:r w:rsidR="00A8533D">
        <w:rPr>
          <w:rFonts w:cstheme="minorHAnsi"/>
          <w:sz w:val="24"/>
          <w:szCs w:val="24"/>
        </w:rPr>
        <w:t xml:space="preserve">yine transit ağırlıklı olarak </w:t>
      </w:r>
      <w:r w:rsidRPr="00AA1136">
        <w:rPr>
          <w:rFonts w:cstheme="minorHAnsi"/>
          <w:sz w:val="24"/>
          <w:szCs w:val="24"/>
        </w:rPr>
        <w:t xml:space="preserve">Konteynerde </w:t>
      </w:r>
      <w:r w:rsidR="004C68AF">
        <w:rPr>
          <w:rFonts w:cstheme="minorHAnsi"/>
          <w:sz w:val="24"/>
          <w:szCs w:val="24"/>
        </w:rPr>
        <w:t xml:space="preserve">de </w:t>
      </w:r>
      <w:r w:rsidRPr="00AA1136">
        <w:rPr>
          <w:rFonts w:cstheme="minorHAnsi"/>
          <w:sz w:val="24"/>
          <w:szCs w:val="24"/>
        </w:rPr>
        <w:t>%1</w:t>
      </w:r>
      <w:r w:rsidR="00A8533D">
        <w:rPr>
          <w:rFonts w:cstheme="minorHAnsi"/>
          <w:sz w:val="24"/>
          <w:szCs w:val="24"/>
        </w:rPr>
        <w:t xml:space="preserve">2,77 </w:t>
      </w:r>
      <w:r w:rsidRPr="00AA1136">
        <w:rPr>
          <w:rFonts w:cstheme="minorHAnsi"/>
          <w:sz w:val="24"/>
          <w:szCs w:val="24"/>
        </w:rPr>
        <w:t xml:space="preserve">oranında bir büyüme meydana gelmiştir. </w:t>
      </w:r>
      <w:r w:rsidR="00A8533D">
        <w:rPr>
          <w:rFonts w:cstheme="minorHAnsi"/>
          <w:sz w:val="24"/>
          <w:szCs w:val="24"/>
        </w:rPr>
        <w:t xml:space="preserve">Bu durumun kalıcı olup olmayacağı önümüzdeki aylarda daha da belirgin hale gelecektir. </w:t>
      </w:r>
      <w:r>
        <w:rPr>
          <w:rFonts w:cstheme="minorHAnsi"/>
          <w:sz w:val="24"/>
          <w:szCs w:val="24"/>
        </w:rPr>
        <w:t xml:space="preserve">2024 yılına ait </w:t>
      </w:r>
      <w:r w:rsidRPr="00AA1136">
        <w:rPr>
          <w:rFonts w:cstheme="minorHAnsi"/>
          <w:sz w:val="24"/>
          <w:szCs w:val="24"/>
        </w:rPr>
        <w:t xml:space="preserve">Konteyner değerlendirmeler raporumuzun ikinci bölümünde yer almaktadır. </w:t>
      </w:r>
    </w:p>
    <w:p w14:paraId="78FA6437" w14:textId="2616CC94" w:rsidR="0088771C" w:rsidRPr="00AA1136" w:rsidRDefault="00E8273A" w:rsidP="00F0225F">
      <w:pPr>
        <w:jc w:val="center"/>
        <w:rPr>
          <w:rFonts w:cstheme="minorHAnsi"/>
          <w:b/>
          <w:bCs/>
          <w:sz w:val="22"/>
          <w:szCs w:val="22"/>
        </w:rPr>
      </w:pPr>
      <w:r w:rsidRPr="00AA1136">
        <w:rPr>
          <w:rFonts w:cstheme="minorHAnsi"/>
          <w:b/>
          <w:bCs/>
          <w:sz w:val="22"/>
          <w:szCs w:val="22"/>
          <w:u w:val="single"/>
        </w:rPr>
        <w:t>Tablo-</w:t>
      </w:r>
      <w:r w:rsidR="00D543A1" w:rsidRPr="00AA1136">
        <w:rPr>
          <w:rFonts w:cstheme="minorHAnsi"/>
          <w:b/>
          <w:bCs/>
          <w:sz w:val="22"/>
          <w:szCs w:val="22"/>
          <w:u w:val="single"/>
        </w:rPr>
        <w:t>6</w:t>
      </w:r>
      <w:r w:rsidRPr="00AA1136">
        <w:rPr>
          <w:rFonts w:cstheme="minorHAnsi"/>
          <w:b/>
          <w:bCs/>
          <w:sz w:val="22"/>
          <w:szCs w:val="22"/>
          <w:u w:val="single"/>
        </w:rPr>
        <w:t>:</w:t>
      </w:r>
      <w:r w:rsidRPr="00AA1136">
        <w:rPr>
          <w:rFonts w:cstheme="minorHAnsi"/>
          <w:sz w:val="22"/>
          <w:szCs w:val="22"/>
        </w:rPr>
        <w:t xml:space="preserve"> </w:t>
      </w:r>
      <w:r w:rsidRPr="00AA1136">
        <w:rPr>
          <w:rFonts w:cstheme="minorHAnsi"/>
          <w:b/>
          <w:bCs/>
          <w:sz w:val="22"/>
          <w:szCs w:val="22"/>
        </w:rPr>
        <w:t>Gümrük Rejimlerine Göre Toplam Yükte Tonaj Değişimi (</w:t>
      </w:r>
      <w:r w:rsidR="00112491" w:rsidRPr="00AA1136">
        <w:rPr>
          <w:rFonts w:cstheme="minorHAnsi"/>
          <w:b/>
          <w:bCs/>
          <w:sz w:val="22"/>
          <w:szCs w:val="22"/>
        </w:rPr>
        <w:t xml:space="preserve">Ocak </w:t>
      </w:r>
      <w:r w:rsidRPr="00AA1136">
        <w:rPr>
          <w:rFonts w:cstheme="minorHAnsi"/>
          <w:b/>
          <w:bCs/>
          <w:sz w:val="22"/>
          <w:szCs w:val="22"/>
        </w:rPr>
        <w:t>202</w:t>
      </w:r>
      <w:r w:rsidR="00112491" w:rsidRPr="00AA1136">
        <w:rPr>
          <w:rFonts w:cstheme="minorHAnsi"/>
          <w:b/>
          <w:bCs/>
          <w:sz w:val="22"/>
          <w:szCs w:val="22"/>
        </w:rPr>
        <w:t>4</w:t>
      </w:r>
      <w:r w:rsidRPr="00AA1136">
        <w:rPr>
          <w:rFonts w:cstheme="minorHAnsi"/>
          <w:b/>
          <w:bCs/>
          <w:sz w:val="22"/>
          <w:szCs w:val="22"/>
        </w:rPr>
        <w:t>-</w:t>
      </w:r>
      <w:r w:rsidR="00112491" w:rsidRPr="00AA1136">
        <w:rPr>
          <w:rFonts w:cstheme="minorHAnsi"/>
          <w:b/>
          <w:bCs/>
          <w:sz w:val="22"/>
          <w:szCs w:val="22"/>
        </w:rPr>
        <w:t xml:space="preserve">Ocak </w:t>
      </w:r>
      <w:r w:rsidRPr="00AA1136">
        <w:rPr>
          <w:rFonts w:cstheme="minorHAnsi"/>
          <w:b/>
          <w:bCs/>
          <w:sz w:val="22"/>
          <w:szCs w:val="22"/>
        </w:rPr>
        <w:t>202</w:t>
      </w:r>
      <w:r w:rsidR="00F0225F" w:rsidRPr="00AA1136">
        <w:rPr>
          <w:rFonts w:cstheme="minorHAnsi"/>
          <w:b/>
          <w:bCs/>
          <w:sz w:val="22"/>
          <w:szCs w:val="22"/>
        </w:rPr>
        <w:t>5</w:t>
      </w:r>
      <w:r w:rsidRPr="00AA1136">
        <w:rPr>
          <w:rFonts w:cstheme="minorHAnsi"/>
          <w:b/>
          <w:bCs/>
          <w:sz w:val="22"/>
          <w:szCs w:val="22"/>
        </w:rPr>
        <w:t>)</w:t>
      </w:r>
    </w:p>
    <w:tbl>
      <w:tblPr>
        <w:tblW w:w="8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1"/>
        <w:gridCol w:w="1340"/>
        <w:gridCol w:w="1340"/>
        <w:gridCol w:w="1220"/>
        <w:gridCol w:w="1220"/>
        <w:gridCol w:w="1340"/>
      </w:tblGrid>
      <w:tr w:rsidR="0088771C" w:rsidRPr="0088771C" w14:paraId="21D23F2D" w14:textId="77777777" w:rsidTr="000C248B">
        <w:trPr>
          <w:trHeight w:val="285"/>
          <w:jc w:val="center"/>
        </w:trPr>
        <w:tc>
          <w:tcPr>
            <w:tcW w:w="1561" w:type="dxa"/>
            <w:shd w:val="clear" w:color="000000" w:fill="F8CBAD"/>
            <w:noWrap/>
            <w:vAlign w:val="center"/>
            <w:hideMark/>
          </w:tcPr>
          <w:p w14:paraId="13AC2F52"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Ocak</w:t>
            </w:r>
          </w:p>
        </w:tc>
        <w:tc>
          <w:tcPr>
            <w:tcW w:w="1340" w:type="dxa"/>
            <w:shd w:val="clear" w:color="000000" w:fill="FFFF00"/>
            <w:noWrap/>
            <w:vAlign w:val="bottom"/>
            <w:hideMark/>
          </w:tcPr>
          <w:p w14:paraId="4FA01C1A"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İhracat</w:t>
            </w:r>
          </w:p>
        </w:tc>
        <w:tc>
          <w:tcPr>
            <w:tcW w:w="1340" w:type="dxa"/>
            <w:shd w:val="clear" w:color="000000" w:fill="FFFF00"/>
            <w:noWrap/>
            <w:vAlign w:val="bottom"/>
            <w:hideMark/>
          </w:tcPr>
          <w:p w14:paraId="4C62FDF1"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İthalat</w:t>
            </w:r>
          </w:p>
        </w:tc>
        <w:tc>
          <w:tcPr>
            <w:tcW w:w="1220" w:type="dxa"/>
            <w:shd w:val="clear" w:color="000000" w:fill="FFFF00"/>
            <w:noWrap/>
            <w:vAlign w:val="bottom"/>
            <w:hideMark/>
          </w:tcPr>
          <w:p w14:paraId="0CB4E0FE"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Kabotaj</w:t>
            </w:r>
          </w:p>
        </w:tc>
        <w:tc>
          <w:tcPr>
            <w:tcW w:w="1220" w:type="dxa"/>
            <w:shd w:val="clear" w:color="000000" w:fill="FFFF00"/>
            <w:noWrap/>
            <w:vAlign w:val="bottom"/>
            <w:hideMark/>
          </w:tcPr>
          <w:p w14:paraId="12282CF8"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Transit</w:t>
            </w:r>
          </w:p>
        </w:tc>
        <w:tc>
          <w:tcPr>
            <w:tcW w:w="1340" w:type="dxa"/>
            <w:shd w:val="clear" w:color="000000" w:fill="FFFF00"/>
            <w:noWrap/>
            <w:vAlign w:val="bottom"/>
            <w:hideMark/>
          </w:tcPr>
          <w:p w14:paraId="2A51DE84"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Toplam</w:t>
            </w:r>
          </w:p>
        </w:tc>
      </w:tr>
      <w:tr w:rsidR="0088771C" w:rsidRPr="0088771C" w14:paraId="34CD080D" w14:textId="77777777" w:rsidTr="000C248B">
        <w:trPr>
          <w:trHeight w:val="285"/>
          <w:jc w:val="center"/>
        </w:trPr>
        <w:tc>
          <w:tcPr>
            <w:tcW w:w="1561" w:type="dxa"/>
            <w:shd w:val="clear" w:color="auto" w:fill="auto"/>
            <w:noWrap/>
            <w:vAlign w:val="center"/>
            <w:hideMark/>
          </w:tcPr>
          <w:p w14:paraId="19CE774B"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2024</w:t>
            </w:r>
          </w:p>
        </w:tc>
        <w:tc>
          <w:tcPr>
            <w:tcW w:w="1340" w:type="dxa"/>
            <w:shd w:val="clear" w:color="auto" w:fill="auto"/>
            <w:noWrap/>
            <w:vAlign w:val="bottom"/>
            <w:hideMark/>
          </w:tcPr>
          <w:p w14:paraId="20C338D6"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11.196.920</w:t>
            </w:r>
          </w:p>
        </w:tc>
        <w:tc>
          <w:tcPr>
            <w:tcW w:w="1340" w:type="dxa"/>
            <w:shd w:val="clear" w:color="auto" w:fill="auto"/>
            <w:noWrap/>
            <w:vAlign w:val="bottom"/>
            <w:hideMark/>
          </w:tcPr>
          <w:p w14:paraId="7C68333E"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22.035.884</w:t>
            </w:r>
          </w:p>
        </w:tc>
        <w:tc>
          <w:tcPr>
            <w:tcW w:w="1220" w:type="dxa"/>
            <w:shd w:val="clear" w:color="auto" w:fill="auto"/>
            <w:noWrap/>
            <w:vAlign w:val="bottom"/>
            <w:hideMark/>
          </w:tcPr>
          <w:p w14:paraId="4482D8FE"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4.691.876</w:t>
            </w:r>
          </w:p>
        </w:tc>
        <w:tc>
          <w:tcPr>
            <w:tcW w:w="1220" w:type="dxa"/>
            <w:shd w:val="clear" w:color="auto" w:fill="auto"/>
            <w:noWrap/>
            <w:vAlign w:val="bottom"/>
            <w:hideMark/>
          </w:tcPr>
          <w:p w14:paraId="6ACB71B2"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5.194.876</w:t>
            </w:r>
          </w:p>
        </w:tc>
        <w:tc>
          <w:tcPr>
            <w:tcW w:w="1340" w:type="dxa"/>
            <w:shd w:val="clear" w:color="auto" w:fill="auto"/>
            <w:noWrap/>
            <w:vAlign w:val="bottom"/>
            <w:hideMark/>
          </w:tcPr>
          <w:p w14:paraId="19D5A94F"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43.119.556</w:t>
            </w:r>
          </w:p>
        </w:tc>
      </w:tr>
      <w:tr w:rsidR="0088771C" w:rsidRPr="0088771C" w14:paraId="7EAC3B53" w14:textId="77777777" w:rsidTr="000C248B">
        <w:trPr>
          <w:trHeight w:val="285"/>
          <w:jc w:val="center"/>
        </w:trPr>
        <w:tc>
          <w:tcPr>
            <w:tcW w:w="1561" w:type="dxa"/>
            <w:shd w:val="clear" w:color="auto" w:fill="auto"/>
            <w:noWrap/>
            <w:vAlign w:val="center"/>
            <w:hideMark/>
          </w:tcPr>
          <w:p w14:paraId="38BAB816"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2025</w:t>
            </w:r>
          </w:p>
        </w:tc>
        <w:tc>
          <w:tcPr>
            <w:tcW w:w="1340" w:type="dxa"/>
            <w:shd w:val="clear" w:color="auto" w:fill="auto"/>
            <w:noWrap/>
            <w:vAlign w:val="bottom"/>
            <w:hideMark/>
          </w:tcPr>
          <w:p w14:paraId="6E34E3E7"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11.792.496</w:t>
            </w:r>
          </w:p>
        </w:tc>
        <w:tc>
          <w:tcPr>
            <w:tcW w:w="1340" w:type="dxa"/>
            <w:shd w:val="clear" w:color="auto" w:fill="auto"/>
            <w:noWrap/>
            <w:vAlign w:val="bottom"/>
            <w:hideMark/>
          </w:tcPr>
          <w:p w14:paraId="7E1812CB"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25.625.502</w:t>
            </w:r>
          </w:p>
        </w:tc>
        <w:tc>
          <w:tcPr>
            <w:tcW w:w="1220" w:type="dxa"/>
            <w:shd w:val="clear" w:color="auto" w:fill="auto"/>
            <w:noWrap/>
            <w:vAlign w:val="bottom"/>
            <w:hideMark/>
          </w:tcPr>
          <w:p w14:paraId="7C95FBF0"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5.375.511</w:t>
            </w:r>
          </w:p>
        </w:tc>
        <w:tc>
          <w:tcPr>
            <w:tcW w:w="1220" w:type="dxa"/>
            <w:shd w:val="clear" w:color="auto" w:fill="auto"/>
            <w:noWrap/>
            <w:vAlign w:val="bottom"/>
            <w:hideMark/>
          </w:tcPr>
          <w:p w14:paraId="20EF32AE"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5.833.004</w:t>
            </w:r>
          </w:p>
        </w:tc>
        <w:tc>
          <w:tcPr>
            <w:tcW w:w="1340" w:type="dxa"/>
            <w:shd w:val="clear" w:color="auto" w:fill="auto"/>
            <w:noWrap/>
            <w:vAlign w:val="bottom"/>
            <w:hideMark/>
          </w:tcPr>
          <w:p w14:paraId="137806DE"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48.626.513</w:t>
            </w:r>
          </w:p>
        </w:tc>
      </w:tr>
      <w:tr w:rsidR="0088771C" w:rsidRPr="0088771C" w14:paraId="508D9A2D" w14:textId="77777777" w:rsidTr="000C248B">
        <w:trPr>
          <w:trHeight w:val="285"/>
          <w:jc w:val="center"/>
        </w:trPr>
        <w:tc>
          <w:tcPr>
            <w:tcW w:w="1561" w:type="dxa"/>
            <w:shd w:val="clear" w:color="auto" w:fill="auto"/>
            <w:noWrap/>
            <w:vAlign w:val="center"/>
            <w:hideMark/>
          </w:tcPr>
          <w:p w14:paraId="306CE6B3"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Farklar</w:t>
            </w:r>
          </w:p>
        </w:tc>
        <w:tc>
          <w:tcPr>
            <w:tcW w:w="1340" w:type="dxa"/>
            <w:shd w:val="clear" w:color="auto" w:fill="auto"/>
            <w:noWrap/>
            <w:vAlign w:val="bottom"/>
            <w:hideMark/>
          </w:tcPr>
          <w:p w14:paraId="5CDB2B21"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595.576</w:t>
            </w:r>
          </w:p>
        </w:tc>
        <w:tc>
          <w:tcPr>
            <w:tcW w:w="1340" w:type="dxa"/>
            <w:shd w:val="clear" w:color="auto" w:fill="auto"/>
            <w:noWrap/>
            <w:vAlign w:val="bottom"/>
            <w:hideMark/>
          </w:tcPr>
          <w:p w14:paraId="5F12837A"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3.589.618</w:t>
            </w:r>
          </w:p>
        </w:tc>
        <w:tc>
          <w:tcPr>
            <w:tcW w:w="1220" w:type="dxa"/>
            <w:shd w:val="clear" w:color="auto" w:fill="auto"/>
            <w:noWrap/>
            <w:vAlign w:val="bottom"/>
            <w:hideMark/>
          </w:tcPr>
          <w:p w14:paraId="644ACE23"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683.635</w:t>
            </w:r>
          </w:p>
        </w:tc>
        <w:tc>
          <w:tcPr>
            <w:tcW w:w="1220" w:type="dxa"/>
            <w:shd w:val="clear" w:color="auto" w:fill="auto"/>
            <w:noWrap/>
            <w:vAlign w:val="bottom"/>
            <w:hideMark/>
          </w:tcPr>
          <w:p w14:paraId="24D3075B"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638.128</w:t>
            </w:r>
          </w:p>
        </w:tc>
        <w:tc>
          <w:tcPr>
            <w:tcW w:w="1340" w:type="dxa"/>
            <w:shd w:val="clear" w:color="auto" w:fill="auto"/>
            <w:noWrap/>
            <w:vAlign w:val="bottom"/>
            <w:hideMark/>
          </w:tcPr>
          <w:p w14:paraId="4ECE0473"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5.506.957</w:t>
            </w:r>
          </w:p>
        </w:tc>
      </w:tr>
      <w:tr w:rsidR="008D3749" w:rsidRPr="0088771C" w14:paraId="0C8C8160" w14:textId="77777777" w:rsidTr="00F07BEC">
        <w:trPr>
          <w:trHeight w:val="285"/>
          <w:jc w:val="center"/>
        </w:trPr>
        <w:tc>
          <w:tcPr>
            <w:tcW w:w="1561" w:type="dxa"/>
            <w:shd w:val="clear" w:color="auto" w:fill="FAE2D5" w:themeFill="accent2" w:themeFillTint="33"/>
            <w:noWrap/>
            <w:vAlign w:val="center"/>
            <w:hideMark/>
          </w:tcPr>
          <w:p w14:paraId="6360877D" w14:textId="77777777" w:rsidR="0088771C" w:rsidRPr="0088771C" w:rsidRDefault="0088771C" w:rsidP="0088771C">
            <w:pPr>
              <w:spacing w:after="0" w:line="240" w:lineRule="auto"/>
              <w:jc w:val="center"/>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Büyüme Oranı</w:t>
            </w:r>
          </w:p>
        </w:tc>
        <w:tc>
          <w:tcPr>
            <w:tcW w:w="1340" w:type="dxa"/>
            <w:shd w:val="clear" w:color="auto" w:fill="FAE2D5" w:themeFill="accent2" w:themeFillTint="33"/>
            <w:noWrap/>
            <w:vAlign w:val="bottom"/>
            <w:hideMark/>
          </w:tcPr>
          <w:p w14:paraId="093AA9C5"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5,32%</w:t>
            </w:r>
          </w:p>
        </w:tc>
        <w:tc>
          <w:tcPr>
            <w:tcW w:w="1340" w:type="dxa"/>
            <w:shd w:val="clear" w:color="auto" w:fill="FAE2D5" w:themeFill="accent2" w:themeFillTint="33"/>
            <w:noWrap/>
            <w:vAlign w:val="bottom"/>
            <w:hideMark/>
          </w:tcPr>
          <w:p w14:paraId="2A8F9880"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16,29%</w:t>
            </w:r>
          </w:p>
        </w:tc>
        <w:tc>
          <w:tcPr>
            <w:tcW w:w="1220" w:type="dxa"/>
            <w:shd w:val="clear" w:color="auto" w:fill="FAE2D5" w:themeFill="accent2" w:themeFillTint="33"/>
            <w:noWrap/>
            <w:vAlign w:val="bottom"/>
            <w:hideMark/>
          </w:tcPr>
          <w:p w14:paraId="61DA273C"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14,57%</w:t>
            </w:r>
          </w:p>
        </w:tc>
        <w:tc>
          <w:tcPr>
            <w:tcW w:w="1220" w:type="dxa"/>
            <w:shd w:val="clear" w:color="auto" w:fill="FAE2D5" w:themeFill="accent2" w:themeFillTint="33"/>
            <w:noWrap/>
            <w:vAlign w:val="bottom"/>
            <w:hideMark/>
          </w:tcPr>
          <w:p w14:paraId="0920269B"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12,28%</w:t>
            </w:r>
          </w:p>
        </w:tc>
        <w:tc>
          <w:tcPr>
            <w:tcW w:w="1340" w:type="dxa"/>
            <w:shd w:val="clear" w:color="auto" w:fill="FAE2D5" w:themeFill="accent2" w:themeFillTint="33"/>
            <w:noWrap/>
            <w:vAlign w:val="bottom"/>
            <w:hideMark/>
          </w:tcPr>
          <w:p w14:paraId="3175BAD0" w14:textId="77777777" w:rsidR="0088771C" w:rsidRPr="0088771C" w:rsidRDefault="0088771C" w:rsidP="0088771C">
            <w:pPr>
              <w:spacing w:after="0" w:line="240" w:lineRule="auto"/>
              <w:jc w:val="right"/>
              <w:rPr>
                <w:rFonts w:ascii="Calibri" w:eastAsia="Times New Roman" w:hAnsi="Calibri" w:cs="Calibri"/>
                <w:b/>
                <w:bCs/>
                <w:color w:val="000000"/>
                <w:lang w:eastAsia="tr-TR"/>
              </w:rPr>
            </w:pPr>
            <w:r w:rsidRPr="0088771C">
              <w:rPr>
                <w:rFonts w:ascii="Calibri" w:eastAsia="Times New Roman" w:hAnsi="Calibri" w:cs="Calibri"/>
                <w:b/>
                <w:bCs/>
                <w:color w:val="000000"/>
                <w:lang w:eastAsia="tr-TR"/>
              </w:rPr>
              <w:t>12,77%</w:t>
            </w:r>
          </w:p>
        </w:tc>
      </w:tr>
    </w:tbl>
    <w:p w14:paraId="0B18E185" w14:textId="77777777" w:rsidR="0088771C" w:rsidRDefault="0088771C" w:rsidP="002B6338">
      <w:pPr>
        <w:jc w:val="both"/>
        <w:rPr>
          <w:rFonts w:cstheme="minorHAnsi"/>
        </w:rPr>
      </w:pPr>
    </w:p>
    <w:p w14:paraId="1C84B85B" w14:textId="79F7A2B0" w:rsidR="00E8273A" w:rsidRPr="00AA1136" w:rsidRDefault="00E8273A" w:rsidP="00F0225F">
      <w:pPr>
        <w:jc w:val="center"/>
        <w:rPr>
          <w:rFonts w:cstheme="minorHAnsi"/>
          <w:sz w:val="22"/>
          <w:szCs w:val="22"/>
        </w:rPr>
      </w:pPr>
      <w:r w:rsidRPr="00AA1136">
        <w:rPr>
          <w:rFonts w:cstheme="minorHAnsi"/>
          <w:b/>
          <w:bCs/>
          <w:sz w:val="22"/>
          <w:szCs w:val="22"/>
          <w:u w:val="single"/>
        </w:rPr>
        <w:t>Tablo-</w:t>
      </w:r>
      <w:r w:rsidR="00D543A1" w:rsidRPr="00AA1136">
        <w:rPr>
          <w:rFonts w:cstheme="minorHAnsi"/>
          <w:b/>
          <w:bCs/>
          <w:sz w:val="22"/>
          <w:szCs w:val="22"/>
          <w:u w:val="single"/>
        </w:rPr>
        <w:t>7</w:t>
      </w:r>
      <w:r w:rsidRPr="00AA1136">
        <w:rPr>
          <w:rFonts w:cstheme="minorHAnsi"/>
          <w:b/>
          <w:bCs/>
          <w:sz w:val="22"/>
          <w:szCs w:val="22"/>
          <w:u w:val="single"/>
        </w:rPr>
        <w:t>:</w:t>
      </w:r>
      <w:r w:rsidRPr="00AA1136">
        <w:rPr>
          <w:rFonts w:cstheme="minorHAnsi"/>
          <w:sz w:val="22"/>
          <w:szCs w:val="22"/>
        </w:rPr>
        <w:t xml:space="preserve"> </w:t>
      </w:r>
      <w:r w:rsidR="006141B6" w:rsidRPr="00AA1136">
        <w:rPr>
          <w:rFonts w:eastAsia="Times New Roman" w:cs="Calibri"/>
          <w:b/>
          <w:bCs/>
          <w:color w:val="000000"/>
          <w:sz w:val="22"/>
          <w:szCs w:val="22"/>
          <w:lang w:eastAsia="tr-TR"/>
        </w:rPr>
        <w:t xml:space="preserve">Kargo Tiplerine Göre </w:t>
      </w:r>
      <w:r w:rsidR="006141B6" w:rsidRPr="00AA1136">
        <w:rPr>
          <w:rFonts w:cstheme="minorHAnsi"/>
          <w:b/>
          <w:bCs/>
          <w:sz w:val="22"/>
          <w:szCs w:val="22"/>
        </w:rPr>
        <w:t>Toplam Yükte Tonaj ve Büyüme Oranları (</w:t>
      </w:r>
      <w:r w:rsidR="00112491" w:rsidRPr="00AA1136">
        <w:rPr>
          <w:rFonts w:cstheme="minorHAnsi"/>
          <w:b/>
          <w:bCs/>
          <w:sz w:val="22"/>
          <w:szCs w:val="22"/>
        </w:rPr>
        <w:t xml:space="preserve">Ocak </w:t>
      </w:r>
      <w:r w:rsidR="006141B6" w:rsidRPr="00AA1136">
        <w:rPr>
          <w:rFonts w:cstheme="minorHAnsi"/>
          <w:b/>
          <w:bCs/>
          <w:sz w:val="22"/>
          <w:szCs w:val="22"/>
        </w:rPr>
        <w:t>2024-</w:t>
      </w:r>
      <w:r w:rsidR="00112491" w:rsidRPr="00AA1136">
        <w:rPr>
          <w:rFonts w:cstheme="minorHAnsi"/>
          <w:b/>
          <w:bCs/>
          <w:sz w:val="22"/>
          <w:szCs w:val="22"/>
        </w:rPr>
        <w:t xml:space="preserve"> Ocak </w:t>
      </w:r>
      <w:r w:rsidR="006141B6" w:rsidRPr="00AA1136">
        <w:rPr>
          <w:rFonts w:cstheme="minorHAnsi"/>
          <w:b/>
          <w:bCs/>
          <w:sz w:val="22"/>
          <w:szCs w:val="22"/>
        </w:rPr>
        <w:t>2025)</w:t>
      </w:r>
    </w:p>
    <w:tbl>
      <w:tblPr>
        <w:tblW w:w="6080" w:type="dxa"/>
        <w:jc w:val="center"/>
        <w:tblCellMar>
          <w:left w:w="70" w:type="dxa"/>
          <w:right w:w="70" w:type="dxa"/>
        </w:tblCellMar>
        <w:tblLook w:val="04A0" w:firstRow="1" w:lastRow="0" w:firstColumn="1" w:lastColumn="0" w:noHBand="0" w:noVBand="1"/>
      </w:tblPr>
      <w:tblGrid>
        <w:gridCol w:w="2141"/>
        <w:gridCol w:w="1447"/>
        <w:gridCol w:w="1441"/>
        <w:gridCol w:w="1051"/>
      </w:tblGrid>
      <w:tr w:rsidR="000C248B" w:rsidRPr="000C248B" w14:paraId="0D6E232E" w14:textId="77777777" w:rsidTr="00D543A1">
        <w:trPr>
          <w:trHeight w:val="285"/>
          <w:jc w:val="center"/>
        </w:trPr>
        <w:tc>
          <w:tcPr>
            <w:tcW w:w="6080" w:type="dxa"/>
            <w:gridSpan w:val="4"/>
            <w:tcBorders>
              <w:top w:val="single" w:sz="12" w:space="0" w:color="auto"/>
              <w:left w:val="single" w:sz="12" w:space="0" w:color="auto"/>
              <w:bottom w:val="single" w:sz="12" w:space="0" w:color="auto"/>
              <w:right w:val="single" w:sz="12" w:space="0" w:color="auto"/>
            </w:tcBorders>
            <w:shd w:val="clear" w:color="000000" w:fill="F8CBAD"/>
            <w:noWrap/>
            <w:vAlign w:val="bottom"/>
            <w:hideMark/>
          </w:tcPr>
          <w:p w14:paraId="35EE2E2C" w14:textId="6052FC91" w:rsidR="000C248B" w:rsidRPr="000C248B" w:rsidRDefault="000C248B" w:rsidP="000C248B">
            <w:pPr>
              <w:spacing w:after="0" w:line="240" w:lineRule="auto"/>
              <w:jc w:val="center"/>
              <w:rPr>
                <w:rFonts w:ascii="Calibri" w:eastAsia="Times New Roman" w:hAnsi="Calibri" w:cs="Calibri"/>
                <w:b/>
                <w:bCs/>
                <w:color w:val="000000"/>
                <w:sz w:val="22"/>
                <w:szCs w:val="22"/>
                <w:lang w:eastAsia="tr-TR"/>
              </w:rPr>
            </w:pPr>
            <w:r w:rsidRPr="000C248B">
              <w:rPr>
                <w:rFonts w:ascii="Calibri" w:eastAsia="Times New Roman" w:hAnsi="Calibri" w:cs="Calibri"/>
                <w:b/>
                <w:bCs/>
                <w:color w:val="000000"/>
                <w:sz w:val="22"/>
                <w:szCs w:val="22"/>
                <w:lang w:eastAsia="tr-TR"/>
              </w:rPr>
              <w:t>Ocak</w:t>
            </w:r>
            <w:r w:rsidR="00D543A1">
              <w:rPr>
                <w:rFonts w:ascii="Calibri" w:eastAsia="Times New Roman" w:hAnsi="Calibri" w:cs="Calibri"/>
                <w:b/>
                <w:bCs/>
                <w:color w:val="000000"/>
                <w:sz w:val="22"/>
                <w:szCs w:val="22"/>
                <w:lang w:eastAsia="tr-TR"/>
              </w:rPr>
              <w:t xml:space="preserve"> Ayı</w:t>
            </w:r>
          </w:p>
        </w:tc>
      </w:tr>
      <w:tr w:rsidR="000C248B" w:rsidRPr="000C248B" w14:paraId="4D3B9325" w14:textId="77777777" w:rsidTr="00D543A1">
        <w:trPr>
          <w:trHeight w:val="285"/>
          <w:jc w:val="center"/>
        </w:trPr>
        <w:tc>
          <w:tcPr>
            <w:tcW w:w="2141"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14:paraId="55486357" w14:textId="77777777" w:rsidR="000C248B" w:rsidRPr="000C248B" w:rsidRDefault="000C248B" w:rsidP="000C248B">
            <w:pPr>
              <w:spacing w:after="0" w:line="240" w:lineRule="auto"/>
              <w:rPr>
                <w:rFonts w:ascii="Calibri" w:eastAsia="Times New Roman" w:hAnsi="Calibri" w:cs="Calibri"/>
                <w:b/>
                <w:bCs/>
                <w:color w:val="000000"/>
                <w:sz w:val="22"/>
                <w:szCs w:val="22"/>
                <w:lang w:eastAsia="tr-TR"/>
              </w:rPr>
            </w:pPr>
            <w:r w:rsidRPr="000C248B">
              <w:rPr>
                <w:rFonts w:ascii="Calibri" w:eastAsia="Times New Roman" w:hAnsi="Calibri" w:cs="Calibri"/>
                <w:b/>
                <w:bCs/>
                <w:color w:val="000000"/>
                <w:sz w:val="22"/>
                <w:szCs w:val="22"/>
                <w:lang w:eastAsia="tr-TR"/>
              </w:rPr>
              <w:t>TON</w:t>
            </w:r>
          </w:p>
        </w:tc>
        <w:tc>
          <w:tcPr>
            <w:tcW w:w="1447" w:type="dxa"/>
            <w:tcBorders>
              <w:top w:val="single" w:sz="12" w:space="0" w:color="auto"/>
              <w:left w:val="single" w:sz="12" w:space="0" w:color="auto"/>
              <w:bottom w:val="single" w:sz="12" w:space="0" w:color="auto"/>
              <w:right w:val="single" w:sz="12" w:space="0" w:color="auto"/>
            </w:tcBorders>
            <w:shd w:val="clear" w:color="000000" w:fill="FFFF00"/>
            <w:noWrap/>
            <w:vAlign w:val="center"/>
            <w:hideMark/>
          </w:tcPr>
          <w:p w14:paraId="5517F352" w14:textId="77777777" w:rsidR="000C248B" w:rsidRPr="000C248B" w:rsidRDefault="000C248B" w:rsidP="000C248B">
            <w:pPr>
              <w:spacing w:after="0" w:line="240" w:lineRule="auto"/>
              <w:jc w:val="center"/>
              <w:rPr>
                <w:rFonts w:ascii="Calibri" w:eastAsia="Times New Roman" w:hAnsi="Calibri" w:cs="Calibri"/>
                <w:b/>
                <w:bCs/>
                <w:color w:val="000000"/>
                <w:sz w:val="22"/>
                <w:szCs w:val="22"/>
                <w:lang w:eastAsia="tr-TR"/>
              </w:rPr>
            </w:pPr>
            <w:r w:rsidRPr="000C248B">
              <w:rPr>
                <w:rFonts w:ascii="Calibri" w:eastAsia="Times New Roman" w:hAnsi="Calibri" w:cs="Calibri"/>
                <w:b/>
                <w:bCs/>
                <w:color w:val="000000"/>
                <w:sz w:val="22"/>
                <w:szCs w:val="22"/>
                <w:lang w:eastAsia="tr-TR"/>
              </w:rPr>
              <w:t>2024</w:t>
            </w:r>
          </w:p>
        </w:tc>
        <w:tc>
          <w:tcPr>
            <w:tcW w:w="1441" w:type="dxa"/>
            <w:tcBorders>
              <w:top w:val="single" w:sz="12" w:space="0" w:color="auto"/>
              <w:left w:val="single" w:sz="12" w:space="0" w:color="auto"/>
              <w:bottom w:val="single" w:sz="12" w:space="0" w:color="auto"/>
              <w:right w:val="single" w:sz="12" w:space="0" w:color="auto"/>
            </w:tcBorders>
            <w:shd w:val="clear" w:color="000000" w:fill="FFFF00"/>
            <w:noWrap/>
            <w:vAlign w:val="center"/>
            <w:hideMark/>
          </w:tcPr>
          <w:p w14:paraId="12DE6E27" w14:textId="77777777" w:rsidR="000C248B" w:rsidRPr="000C248B" w:rsidRDefault="000C248B" w:rsidP="000C248B">
            <w:pPr>
              <w:spacing w:after="0" w:line="240" w:lineRule="auto"/>
              <w:jc w:val="center"/>
              <w:rPr>
                <w:rFonts w:ascii="Calibri" w:eastAsia="Times New Roman" w:hAnsi="Calibri" w:cs="Calibri"/>
                <w:b/>
                <w:bCs/>
                <w:color w:val="000000"/>
                <w:sz w:val="22"/>
                <w:szCs w:val="22"/>
                <w:lang w:eastAsia="tr-TR"/>
              </w:rPr>
            </w:pPr>
            <w:r w:rsidRPr="000C248B">
              <w:rPr>
                <w:rFonts w:ascii="Calibri" w:eastAsia="Times New Roman" w:hAnsi="Calibri" w:cs="Calibri"/>
                <w:b/>
                <w:bCs/>
                <w:color w:val="000000"/>
                <w:sz w:val="22"/>
                <w:szCs w:val="22"/>
                <w:lang w:eastAsia="tr-TR"/>
              </w:rPr>
              <w:t>2025</w:t>
            </w:r>
          </w:p>
        </w:tc>
        <w:tc>
          <w:tcPr>
            <w:tcW w:w="1051" w:type="dxa"/>
            <w:tcBorders>
              <w:top w:val="single" w:sz="12" w:space="0" w:color="auto"/>
              <w:left w:val="single" w:sz="12" w:space="0" w:color="auto"/>
              <w:bottom w:val="single" w:sz="12" w:space="0" w:color="auto"/>
              <w:right w:val="single" w:sz="12" w:space="0" w:color="auto"/>
            </w:tcBorders>
            <w:shd w:val="clear" w:color="000000" w:fill="FFFF00"/>
            <w:noWrap/>
            <w:vAlign w:val="center"/>
            <w:hideMark/>
          </w:tcPr>
          <w:p w14:paraId="7A348E14" w14:textId="77777777" w:rsidR="000C248B" w:rsidRPr="000C248B" w:rsidRDefault="000C248B" w:rsidP="000C248B">
            <w:pPr>
              <w:spacing w:after="0" w:line="240" w:lineRule="auto"/>
              <w:jc w:val="center"/>
              <w:rPr>
                <w:rFonts w:ascii="Calibri" w:eastAsia="Times New Roman" w:hAnsi="Calibri" w:cs="Calibri"/>
                <w:b/>
                <w:bCs/>
                <w:color w:val="000000"/>
                <w:sz w:val="22"/>
                <w:szCs w:val="22"/>
                <w:lang w:eastAsia="tr-TR"/>
              </w:rPr>
            </w:pPr>
            <w:r w:rsidRPr="000C248B">
              <w:rPr>
                <w:rFonts w:ascii="Calibri" w:eastAsia="Times New Roman" w:hAnsi="Calibri" w:cs="Calibri"/>
                <w:b/>
                <w:bCs/>
                <w:color w:val="000000"/>
                <w:sz w:val="22"/>
                <w:szCs w:val="22"/>
                <w:lang w:eastAsia="tr-TR"/>
              </w:rPr>
              <w:t>Değişim</w:t>
            </w:r>
          </w:p>
        </w:tc>
      </w:tr>
      <w:tr w:rsidR="000C248B" w:rsidRPr="000C248B" w14:paraId="6C34E6F3" w14:textId="77777777" w:rsidTr="00D543A1">
        <w:trPr>
          <w:trHeight w:val="285"/>
          <w:jc w:val="center"/>
        </w:trPr>
        <w:tc>
          <w:tcPr>
            <w:tcW w:w="21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0188D247" w14:textId="77777777" w:rsidR="000C248B" w:rsidRPr="000C248B" w:rsidRDefault="000C248B" w:rsidP="000C248B">
            <w:pPr>
              <w:spacing w:after="0" w:line="240" w:lineRule="auto"/>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Kuru Dökme Yük</w:t>
            </w:r>
          </w:p>
        </w:tc>
        <w:tc>
          <w:tcPr>
            <w:tcW w:w="1447"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78F7AD7B"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12.763.496</w:t>
            </w:r>
          </w:p>
        </w:tc>
        <w:tc>
          <w:tcPr>
            <w:tcW w:w="14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50C730A9"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14.960.366</w:t>
            </w:r>
          </w:p>
        </w:tc>
        <w:tc>
          <w:tcPr>
            <w:tcW w:w="1051" w:type="dxa"/>
            <w:tcBorders>
              <w:top w:val="single" w:sz="12" w:space="0" w:color="auto"/>
              <w:left w:val="single" w:sz="12" w:space="0" w:color="auto"/>
              <w:bottom w:val="single" w:sz="12" w:space="0" w:color="auto"/>
              <w:right w:val="single" w:sz="12" w:space="0" w:color="auto"/>
            </w:tcBorders>
            <w:shd w:val="clear" w:color="000000" w:fill="C6EFCE"/>
            <w:noWrap/>
            <w:vAlign w:val="bottom"/>
            <w:hideMark/>
          </w:tcPr>
          <w:p w14:paraId="04A294D8" w14:textId="77777777" w:rsidR="000C248B" w:rsidRPr="000C248B" w:rsidRDefault="000C248B" w:rsidP="000C248B">
            <w:pPr>
              <w:spacing w:after="0" w:line="240" w:lineRule="auto"/>
              <w:jc w:val="right"/>
              <w:rPr>
                <w:rFonts w:ascii="Calibri" w:eastAsia="Times New Roman" w:hAnsi="Calibri" w:cs="Calibri"/>
                <w:b/>
                <w:bCs/>
                <w:color w:val="006100"/>
                <w:sz w:val="22"/>
                <w:szCs w:val="22"/>
                <w:lang w:eastAsia="tr-TR"/>
              </w:rPr>
            </w:pPr>
            <w:r w:rsidRPr="000C248B">
              <w:rPr>
                <w:rFonts w:ascii="Calibri" w:eastAsia="Times New Roman" w:hAnsi="Calibri" w:cs="Calibri"/>
                <w:b/>
                <w:bCs/>
                <w:color w:val="006100"/>
                <w:sz w:val="22"/>
                <w:szCs w:val="22"/>
                <w:lang w:eastAsia="tr-TR"/>
              </w:rPr>
              <w:t>17,2%</w:t>
            </w:r>
          </w:p>
        </w:tc>
      </w:tr>
      <w:tr w:rsidR="000C248B" w:rsidRPr="000C248B" w14:paraId="69D96202" w14:textId="77777777" w:rsidTr="00D543A1">
        <w:trPr>
          <w:trHeight w:val="285"/>
          <w:jc w:val="center"/>
        </w:trPr>
        <w:tc>
          <w:tcPr>
            <w:tcW w:w="21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448CF93B" w14:textId="77777777" w:rsidR="000C248B" w:rsidRPr="000C248B" w:rsidRDefault="000C248B" w:rsidP="000C248B">
            <w:pPr>
              <w:spacing w:after="0" w:line="240" w:lineRule="auto"/>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Genel Kargo</w:t>
            </w:r>
          </w:p>
        </w:tc>
        <w:tc>
          <w:tcPr>
            <w:tcW w:w="1447"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6F421722"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5.087.733</w:t>
            </w:r>
          </w:p>
        </w:tc>
        <w:tc>
          <w:tcPr>
            <w:tcW w:w="14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557E7739"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6.010.080</w:t>
            </w:r>
          </w:p>
        </w:tc>
        <w:tc>
          <w:tcPr>
            <w:tcW w:w="1051" w:type="dxa"/>
            <w:tcBorders>
              <w:top w:val="single" w:sz="12" w:space="0" w:color="auto"/>
              <w:left w:val="single" w:sz="12" w:space="0" w:color="auto"/>
              <w:bottom w:val="single" w:sz="12" w:space="0" w:color="auto"/>
              <w:right w:val="single" w:sz="12" w:space="0" w:color="auto"/>
            </w:tcBorders>
            <w:shd w:val="clear" w:color="000000" w:fill="C6EFCE"/>
            <w:noWrap/>
            <w:vAlign w:val="bottom"/>
            <w:hideMark/>
          </w:tcPr>
          <w:p w14:paraId="6FB0B9EB" w14:textId="77777777" w:rsidR="000C248B" w:rsidRPr="000C248B" w:rsidRDefault="000C248B" w:rsidP="000C248B">
            <w:pPr>
              <w:spacing w:after="0" w:line="240" w:lineRule="auto"/>
              <w:jc w:val="right"/>
              <w:rPr>
                <w:rFonts w:ascii="Calibri" w:eastAsia="Times New Roman" w:hAnsi="Calibri" w:cs="Calibri"/>
                <w:b/>
                <w:bCs/>
                <w:color w:val="006100"/>
                <w:sz w:val="22"/>
                <w:szCs w:val="22"/>
                <w:lang w:eastAsia="tr-TR"/>
              </w:rPr>
            </w:pPr>
            <w:r w:rsidRPr="000C248B">
              <w:rPr>
                <w:rFonts w:ascii="Calibri" w:eastAsia="Times New Roman" w:hAnsi="Calibri" w:cs="Calibri"/>
                <w:b/>
                <w:bCs/>
                <w:color w:val="006100"/>
                <w:sz w:val="22"/>
                <w:szCs w:val="22"/>
                <w:lang w:eastAsia="tr-TR"/>
              </w:rPr>
              <w:t>18,1%</w:t>
            </w:r>
          </w:p>
        </w:tc>
      </w:tr>
      <w:tr w:rsidR="000C248B" w:rsidRPr="000C248B" w14:paraId="533A4206" w14:textId="77777777" w:rsidTr="00D543A1">
        <w:trPr>
          <w:trHeight w:val="285"/>
          <w:jc w:val="center"/>
        </w:trPr>
        <w:tc>
          <w:tcPr>
            <w:tcW w:w="21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5391C775" w14:textId="77777777" w:rsidR="000C248B" w:rsidRPr="000C248B" w:rsidRDefault="000C248B" w:rsidP="000C248B">
            <w:pPr>
              <w:spacing w:after="0" w:line="240" w:lineRule="auto"/>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Sıvı Dökme Yük</w:t>
            </w:r>
          </w:p>
        </w:tc>
        <w:tc>
          <w:tcPr>
            <w:tcW w:w="1447"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1A9DC074"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13.782.268</w:t>
            </w:r>
          </w:p>
        </w:tc>
        <w:tc>
          <w:tcPr>
            <w:tcW w:w="14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30ECD9AA"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14.838.383</w:t>
            </w:r>
          </w:p>
        </w:tc>
        <w:tc>
          <w:tcPr>
            <w:tcW w:w="1051" w:type="dxa"/>
            <w:tcBorders>
              <w:top w:val="single" w:sz="12" w:space="0" w:color="auto"/>
              <w:left w:val="single" w:sz="12" w:space="0" w:color="auto"/>
              <w:bottom w:val="single" w:sz="12" w:space="0" w:color="auto"/>
              <w:right w:val="single" w:sz="12" w:space="0" w:color="auto"/>
            </w:tcBorders>
            <w:shd w:val="clear" w:color="000000" w:fill="C6EFCE"/>
            <w:noWrap/>
            <w:vAlign w:val="bottom"/>
            <w:hideMark/>
          </w:tcPr>
          <w:p w14:paraId="09671917" w14:textId="77777777" w:rsidR="000C248B" w:rsidRPr="000C248B" w:rsidRDefault="000C248B" w:rsidP="000C248B">
            <w:pPr>
              <w:spacing w:after="0" w:line="240" w:lineRule="auto"/>
              <w:jc w:val="right"/>
              <w:rPr>
                <w:rFonts w:ascii="Calibri" w:eastAsia="Times New Roman" w:hAnsi="Calibri" w:cs="Calibri"/>
                <w:b/>
                <w:bCs/>
                <w:color w:val="006100"/>
                <w:sz w:val="22"/>
                <w:szCs w:val="22"/>
                <w:lang w:eastAsia="tr-TR"/>
              </w:rPr>
            </w:pPr>
            <w:r w:rsidRPr="000C248B">
              <w:rPr>
                <w:rFonts w:ascii="Calibri" w:eastAsia="Times New Roman" w:hAnsi="Calibri" w:cs="Calibri"/>
                <w:b/>
                <w:bCs/>
                <w:color w:val="006100"/>
                <w:sz w:val="22"/>
                <w:szCs w:val="22"/>
                <w:lang w:eastAsia="tr-TR"/>
              </w:rPr>
              <w:t>7,7%</w:t>
            </w:r>
          </w:p>
        </w:tc>
      </w:tr>
      <w:tr w:rsidR="000C248B" w:rsidRPr="000C248B" w14:paraId="53DE591B" w14:textId="77777777" w:rsidTr="00D543A1">
        <w:trPr>
          <w:trHeight w:val="285"/>
          <w:jc w:val="center"/>
        </w:trPr>
        <w:tc>
          <w:tcPr>
            <w:tcW w:w="21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7D03C2A2" w14:textId="77777777" w:rsidR="000C248B" w:rsidRPr="000C248B" w:rsidRDefault="000C248B" w:rsidP="000C248B">
            <w:pPr>
              <w:spacing w:after="0" w:line="240" w:lineRule="auto"/>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Konteyner</w:t>
            </w:r>
          </w:p>
        </w:tc>
        <w:tc>
          <w:tcPr>
            <w:tcW w:w="1447"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144EB49E"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10.619.287</w:t>
            </w:r>
          </w:p>
        </w:tc>
        <w:tc>
          <w:tcPr>
            <w:tcW w:w="14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2A73DD4D"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11.844.174</w:t>
            </w:r>
          </w:p>
        </w:tc>
        <w:tc>
          <w:tcPr>
            <w:tcW w:w="1051" w:type="dxa"/>
            <w:tcBorders>
              <w:top w:val="single" w:sz="12" w:space="0" w:color="auto"/>
              <w:left w:val="single" w:sz="12" w:space="0" w:color="auto"/>
              <w:bottom w:val="single" w:sz="12" w:space="0" w:color="auto"/>
              <w:right w:val="single" w:sz="12" w:space="0" w:color="auto"/>
            </w:tcBorders>
            <w:shd w:val="clear" w:color="000000" w:fill="C6EFCE"/>
            <w:noWrap/>
            <w:vAlign w:val="bottom"/>
            <w:hideMark/>
          </w:tcPr>
          <w:p w14:paraId="39FDACE3" w14:textId="77777777" w:rsidR="000C248B" w:rsidRPr="000C248B" w:rsidRDefault="000C248B" w:rsidP="000C248B">
            <w:pPr>
              <w:spacing w:after="0" w:line="240" w:lineRule="auto"/>
              <w:jc w:val="right"/>
              <w:rPr>
                <w:rFonts w:ascii="Calibri" w:eastAsia="Times New Roman" w:hAnsi="Calibri" w:cs="Calibri"/>
                <w:b/>
                <w:bCs/>
                <w:color w:val="006100"/>
                <w:sz w:val="22"/>
                <w:szCs w:val="22"/>
                <w:lang w:eastAsia="tr-TR"/>
              </w:rPr>
            </w:pPr>
            <w:r w:rsidRPr="000C248B">
              <w:rPr>
                <w:rFonts w:ascii="Calibri" w:eastAsia="Times New Roman" w:hAnsi="Calibri" w:cs="Calibri"/>
                <w:b/>
                <w:bCs/>
                <w:color w:val="006100"/>
                <w:sz w:val="22"/>
                <w:szCs w:val="22"/>
                <w:lang w:eastAsia="tr-TR"/>
              </w:rPr>
              <w:t>11,5%</w:t>
            </w:r>
          </w:p>
        </w:tc>
      </w:tr>
      <w:tr w:rsidR="000C248B" w:rsidRPr="000C248B" w14:paraId="7526A8B6" w14:textId="77777777" w:rsidTr="00D543A1">
        <w:trPr>
          <w:trHeight w:val="285"/>
          <w:jc w:val="center"/>
        </w:trPr>
        <w:tc>
          <w:tcPr>
            <w:tcW w:w="21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140D3614" w14:textId="77777777" w:rsidR="000C248B" w:rsidRPr="000C248B" w:rsidRDefault="000C248B" w:rsidP="000C248B">
            <w:pPr>
              <w:spacing w:after="0" w:line="240" w:lineRule="auto"/>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Araç</w:t>
            </w:r>
          </w:p>
        </w:tc>
        <w:tc>
          <w:tcPr>
            <w:tcW w:w="1447"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59E06BDD"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866.772</w:t>
            </w:r>
          </w:p>
        </w:tc>
        <w:tc>
          <w:tcPr>
            <w:tcW w:w="1441" w:type="dxa"/>
            <w:tcBorders>
              <w:top w:val="single" w:sz="12" w:space="0" w:color="auto"/>
              <w:left w:val="single" w:sz="12" w:space="0" w:color="auto"/>
              <w:bottom w:val="single" w:sz="12" w:space="0" w:color="auto"/>
              <w:right w:val="single" w:sz="12" w:space="0" w:color="auto"/>
            </w:tcBorders>
            <w:shd w:val="clear" w:color="000000" w:fill="DDEBF7"/>
            <w:noWrap/>
            <w:vAlign w:val="bottom"/>
            <w:hideMark/>
          </w:tcPr>
          <w:p w14:paraId="1196EBE2"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973.510</w:t>
            </w:r>
          </w:p>
        </w:tc>
        <w:tc>
          <w:tcPr>
            <w:tcW w:w="1051" w:type="dxa"/>
            <w:tcBorders>
              <w:top w:val="single" w:sz="12" w:space="0" w:color="auto"/>
              <w:left w:val="single" w:sz="12" w:space="0" w:color="auto"/>
              <w:bottom w:val="single" w:sz="12" w:space="0" w:color="auto"/>
              <w:right w:val="single" w:sz="12" w:space="0" w:color="auto"/>
            </w:tcBorders>
            <w:shd w:val="clear" w:color="000000" w:fill="C6EFCE"/>
            <w:noWrap/>
            <w:vAlign w:val="bottom"/>
            <w:hideMark/>
          </w:tcPr>
          <w:p w14:paraId="65E3F479" w14:textId="77777777" w:rsidR="000C248B" w:rsidRPr="000C248B" w:rsidRDefault="000C248B" w:rsidP="000C248B">
            <w:pPr>
              <w:spacing w:after="0" w:line="240" w:lineRule="auto"/>
              <w:jc w:val="right"/>
              <w:rPr>
                <w:rFonts w:ascii="Calibri" w:eastAsia="Times New Roman" w:hAnsi="Calibri" w:cs="Calibri"/>
                <w:b/>
                <w:bCs/>
                <w:color w:val="006100"/>
                <w:sz w:val="22"/>
                <w:szCs w:val="22"/>
                <w:lang w:eastAsia="tr-TR"/>
              </w:rPr>
            </w:pPr>
            <w:r w:rsidRPr="000C248B">
              <w:rPr>
                <w:rFonts w:ascii="Calibri" w:eastAsia="Times New Roman" w:hAnsi="Calibri" w:cs="Calibri"/>
                <w:b/>
                <w:bCs/>
                <w:color w:val="006100"/>
                <w:sz w:val="22"/>
                <w:szCs w:val="22"/>
                <w:lang w:eastAsia="tr-TR"/>
              </w:rPr>
              <w:t>12,3%</w:t>
            </w:r>
          </w:p>
        </w:tc>
      </w:tr>
      <w:tr w:rsidR="008D3749" w:rsidRPr="000C248B" w14:paraId="42F51EEF" w14:textId="77777777" w:rsidTr="008D3749">
        <w:trPr>
          <w:trHeight w:val="285"/>
          <w:jc w:val="center"/>
        </w:trPr>
        <w:tc>
          <w:tcPr>
            <w:tcW w:w="2141" w:type="dxa"/>
            <w:tcBorders>
              <w:top w:val="single" w:sz="12" w:space="0" w:color="auto"/>
              <w:left w:val="single" w:sz="12" w:space="0" w:color="auto"/>
              <w:bottom w:val="single" w:sz="12" w:space="0" w:color="auto"/>
              <w:right w:val="single" w:sz="12" w:space="0" w:color="auto"/>
            </w:tcBorders>
            <w:shd w:val="clear" w:color="auto" w:fill="D9F2D0" w:themeFill="accent6" w:themeFillTint="33"/>
            <w:noWrap/>
            <w:vAlign w:val="bottom"/>
            <w:hideMark/>
          </w:tcPr>
          <w:p w14:paraId="67233764" w14:textId="77777777" w:rsidR="000C248B" w:rsidRPr="000C248B" w:rsidRDefault="000C248B" w:rsidP="000C248B">
            <w:pPr>
              <w:spacing w:after="0" w:line="240" w:lineRule="auto"/>
              <w:rPr>
                <w:rFonts w:ascii="Calibri" w:eastAsia="Times New Roman" w:hAnsi="Calibri" w:cs="Calibri"/>
                <w:b/>
                <w:bCs/>
                <w:sz w:val="22"/>
                <w:szCs w:val="22"/>
                <w:lang w:eastAsia="tr-TR"/>
              </w:rPr>
            </w:pPr>
            <w:r w:rsidRPr="000C248B">
              <w:rPr>
                <w:rFonts w:ascii="Calibri" w:eastAsia="Times New Roman" w:hAnsi="Calibri" w:cs="Calibri"/>
                <w:b/>
                <w:bCs/>
                <w:sz w:val="22"/>
                <w:szCs w:val="22"/>
                <w:lang w:eastAsia="tr-TR"/>
              </w:rPr>
              <w:t>Toplam</w:t>
            </w:r>
          </w:p>
        </w:tc>
        <w:tc>
          <w:tcPr>
            <w:tcW w:w="1447" w:type="dxa"/>
            <w:tcBorders>
              <w:top w:val="single" w:sz="12" w:space="0" w:color="auto"/>
              <w:left w:val="single" w:sz="12" w:space="0" w:color="auto"/>
              <w:bottom w:val="single" w:sz="12" w:space="0" w:color="auto"/>
              <w:right w:val="single" w:sz="12" w:space="0" w:color="auto"/>
            </w:tcBorders>
            <w:shd w:val="clear" w:color="auto" w:fill="D9F2D0" w:themeFill="accent6" w:themeFillTint="33"/>
            <w:noWrap/>
            <w:vAlign w:val="bottom"/>
            <w:hideMark/>
          </w:tcPr>
          <w:p w14:paraId="4D10D91C" w14:textId="77777777" w:rsidR="000C248B" w:rsidRPr="000C248B" w:rsidRDefault="000C248B" w:rsidP="000C248B">
            <w:pPr>
              <w:spacing w:after="0" w:line="240" w:lineRule="auto"/>
              <w:jc w:val="right"/>
              <w:rPr>
                <w:rFonts w:ascii="Calibri" w:eastAsia="Times New Roman" w:hAnsi="Calibri" w:cs="Calibri"/>
                <w:b/>
                <w:bCs/>
                <w:sz w:val="22"/>
                <w:szCs w:val="22"/>
                <w:lang w:eastAsia="tr-TR"/>
              </w:rPr>
            </w:pPr>
            <w:r w:rsidRPr="000C248B">
              <w:rPr>
                <w:rFonts w:ascii="Calibri" w:eastAsia="Times New Roman" w:hAnsi="Calibri" w:cs="Calibri"/>
                <w:b/>
                <w:bCs/>
                <w:sz w:val="22"/>
                <w:szCs w:val="22"/>
                <w:lang w:eastAsia="tr-TR"/>
              </w:rPr>
              <w:t>43.119.556</w:t>
            </w:r>
          </w:p>
        </w:tc>
        <w:tc>
          <w:tcPr>
            <w:tcW w:w="1441" w:type="dxa"/>
            <w:tcBorders>
              <w:top w:val="single" w:sz="12" w:space="0" w:color="auto"/>
              <w:left w:val="single" w:sz="12" w:space="0" w:color="auto"/>
              <w:bottom w:val="single" w:sz="12" w:space="0" w:color="auto"/>
              <w:right w:val="single" w:sz="12" w:space="0" w:color="auto"/>
            </w:tcBorders>
            <w:shd w:val="clear" w:color="auto" w:fill="D9F2D0" w:themeFill="accent6" w:themeFillTint="33"/>
            <w:noWrap/>
            <w:vAlign w:val="bottom"/>
            <w:hideMark/>
          </w:tcPr>
          <w:p w14:paraId="1A65E296" w14:textId="77777777" w:rsidR="000C248B" w:rsidRPr="000C248B" w:rsidRDefault="000C248B" w:rsidP="000C248B">
            <w:pPr>
              <w:spacing w:after="0" w:line="240" w:lineRule="auto"/>
              <w:jc w:val="right"/>
              <w:rPr>
                <w:rFonts w:ascii="Calibri" w:eastAsia="Times New Roman" w:hAnsi="Calibri" w:cs="Calibri"/>
                <w:b/>
                <w:bCs/>
                <w:sz w:val="22"/>
                <w:szCs w:val="22"/>
                <w:lang w:eastAsia="tr-TR"/>
              </w:rPr>
            </w:pPr>
            <w:r w:rsidRPr="000C248B">
              <w:rPr>
                <w:rFonts w:ascii="Calibri" w:eastAsia="Times New Roman" w:hAnsi="Calibri" w:cs="Calibri"/>
                <w:b/>
                <w:bCs/>
                <w:sz w:val="22"/>
                <w:szCs w:val="22"/>
                <w:lang w:eastAsia="tr-TR"/>
              </w:rPr>
              <w:t>48.626.513</w:t>
            </w:r>
          </w:p>
        </w:tc>
        <w:tc>
          <w:tcPr>
            <w:tcW w:w="1051" w:type="dxa"/>
            <w:tcBorders>
              <w:top w:val="single" w:sz="12" w:space="0" w:color="auto"/>
              <w:left w:val="single" w:sz="12" w:space="0" w:color="auto"/>
              <w:bottom w:val="single" w:sz="12" w:space="0" w:color="auto"/>
              <w:right w:val="single" w:sz="12" w:space="0" w:color="auto"/>
            </w:tcBorders>
            <w:shd w:val="clear" w:color="auto" w:fill="D9F2D0" w:themeFill="accent6" w:themeFillTint="33"/>
            <w:noWrap/>
            <w:vAlign w:val="bottom"/>
            <w:hideMark/>
          </w:tcPr>
          <w:p w14:paraId="51B25F0C" w14:textId="77777777" w:rsidR="000C248B" w:rsidRPr="000C248B" w:rsidRDefault="000C248B" w:rsidP="000C248B">
            <w:pPr>
              <w:spacing w:after="0" w:line="240" w:lineRule="auto"/>
              <w:jc w:val="right"/>
              <w:rPr>
                <w:rFonts w:ascii="Calibri" w:eastAsia="Times New Roman" w:hAnsi="Calibri" w:cs="Calibri"/>
                <w:b/>
                <w:bCs/>
                <w:color w:val="006100"/>
                <w:sz w:val="22"/>
                <w:szCs w:val="22"/>
                <w:lang w:eastAsia="tr-TR"/>
              </w:rPr>
            </w:pPr>
            <w:r w:rsidRPr="000C248B">
              <w:rPr>
                <w:rFonts w:ascii="Calibri" w:eastAsia="Times New Roman" w:hAnsi="Calibri" w:cs="Calibri"/>
                <w:b/>
                <w:bCs/>
                <w:color w:val="006100"/>
                <w:sz w:val="22"/>
                <w:szCs w:val="22"/>
                <w:lang w:eastAsia="tr-TR"/>
              </w:rPr>
              <w:t>12,8%</w:t>
            </w:r>
          </w:p>
        </w:tc>
      </w:tr>
      <w:tr w:rsidR="000C248B" w:rsidRPr="000C248B" w14:paraId="1984BF0A" w14:textId="77777777" w:rsidTr="00D543A1">
        <w:trPr>
          <w:trHeight w:val="285"/>
          <w:jc w:val="center"/>
        </w:trPr>
        <w:tc>
          <w:tcPr>
            <w:tcW w:w="214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B08CEB" w14:textId="77777777" w:rsidR="000C248B" w:rsidRPr="000C248B" w:rsidRDefault="000C248B" w:rsidP="000C248B">
            <w:pPr>
              <w:spacing w:after="0" w:line="240" w:lineRule="auto"/>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 </w:t>
            </w:r>
          </w:p>
        </w:tc>
        <w:tc>
          <w:tcPr>
            <w:tcW w:w="144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01AE1E6"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 </w:t>
            </w:r>
          </w:p>
        </w:tc>
        <w:tc>
          <w:tcPr>
            <w:tcW w:w="144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58F5D1" w14:textId="77777777" w:rsidR="000C248B" w:rsidRPr="000C248B" w:rsidRDefault="000C248B" w:rsidP="000C248B">
            <w:pPr>
              <w:spacing w:after="0" w:line="240" w:lineRule="auto"/>
              <w:jc w:val="right"/>
              <w:rPr>
                <w:rFonts w:ascii="Calibri" w:eastAsia="Times New Roman" w:hAnsi="Calibri" w:cs="Calibri"/>
                <w:color w:val="000000"/>
                <w:sz w:val="22"/>
                <w:szCs w:val="22"/>
                <w:lang w:eastAsia="tr-TR"/>
              </w:rPr>
            </w:pPr>
            <w:r w:rsidRPr="000C248B">
              <w:rPr>
                <w:rFonts w:ascii="Calibri" w:eastAsia="Times New Roman" w:hAnsi="Calibri" w:cs="Calibri"/>
                <w:color w:val="000000"/>
                <w:sz w:val="22"/>
                <w:szCs w:val="22"/>
                <w:lang w:eastAsia="tr-TR"/>
              </w:rPr>
              <w:t> </w:t>
            </w:r>
          </w:p>
        </w:tc>
        <w:tc>
          <w:tcPr>
            <w:tcW w:w="105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9DB34C8" w14:textId="77777777" w:rsidR="000C248B" w:rsidRPr="000C248B" w:rsidRDefault="000C248B" w:rsidP="000C248B">
            <w:pPr>
              <w:spacing w:after="0" w:line="240" w:lineRule="auto"/>
              <w:jc w:val="right"/>
              <w:rPr>
                <w:rFonts w:ascii="Calibri" w:eastAsia="Times New Roman" w:hAnsi="Calibri" w:cs="Calibri"/>
                <w:b/>
                <w:bCs/>
                <w:color w:val="000000"/>
                <w:sz w:val="22"/>
                <w:szCs w:val="22"/>
                <w:lang w:eastAsia="tr-TR"/>
              </w:rPr>
            </w:pPr>
            <w:r w:rsidRPr="000C248B">
              <w:rPr>
                <w:rFonts w:ascii="Calibri" w:eastAsia="Times New Roman" w:hAnsi="Calibri" w:cs="Calibri"/>
                <w:b/>
                <w:bCs/>
                <w:color w:val="000000"/>
                <w:sz w:val="22"/>
                <w:szCs w:val="22"/>
                <w:lang w:eastAsia="tr-TR"/>
              </w:rPr>
              <w:t> </w:t>
            </w:r>
          </w:p>
        </w:tc>
      </w:tr>
      <w:tr w:rsidR="008D3749" w:rsidRPr="000C248B" w14:paraId="7A19F7E9" w14:textId="77777777" w:rsidTr="008D3749">
        <w:trPr>
          <w:trHeight w:val="285"/>
          <w:jc w:val="center"/>
        </w:trPr>
        <w:tc>
          <w:tcPr>
            <w:tcW w:w="2141"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14A1A912" w14:textId="77777777" w:rsidR="000C248B" w:rsidRPr="000C248B" w:rsidRDefault="000C248B" w:rsidP="000C248B">
            <w:pPr>
              <w:spacing w:after="0" w:line="240" w:lineRule="auto"/>
              <w:rPr>
                <w:rFonts w:ascii="Calibri" w:eastAsia="Times New Roman" w:hAnsi="Calibri" w:cs="Calibri"/>
                <w:b/>
                <w:bCs/>
                <w:color w:val="000000"/>
                <w:sz w:val="22"/>
                <w:szCs w:val="22"/>
                <w:lang w:eastAsia="tr-TR"/>
              </w:rPr>
            </w:pPr>
            <w:r w:rsidRPr="000C248B">
              <w:rPr>
                <w:rFonts w:ascii="Calibri" w:eastAsia="Times New Roman" w:hAnsi="Calibri" w:cs="Calibri"/>
                <w:b/>
                <w:bCs/>
                <w:color w:val="000000"/>
                <w:sz w:val="22"/>
                <w:szCs w:val="22"/>
                <w:lang w:eastAsia="tr-TR"/>
              </w:rPr>
              <w:t>Konteyner (TEU)</w:t>
            </w:r>
          </w:p>
        </w:tc>
        <w:tc>
          <w:tcPr>
            <w:tcW w:w="144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18DFC121" w14:textId="77777777" w:rsidR="000C248B" w:rsidRPr="000C248B" w:rsidRDefault="000C248B" w:rsidP="000C248B">
            <w:pPr>
              <w:spacing w:after="0" w:line="240" w:lineRule="auto"/>
              <w:jc w:val="right"/>
              <w:rPr>
                <w:rFonts w:ascii="Calibri" w:eastAsia="Times New Roman" w:hAnsi="Calibri" w:cs="Calibri"/>
                <w:b/>
                <w:bCs/>
                <w:color w:val="000000"/>
                <w:sz w:val="22"/>
                <w:szCs w:val="22"/>
                <w:lang w:eastAsia="tr-TR"/>
              </w:rPr>
            </w:pPr>
            <w:r w:rsidRPr="000C248B">
              <w:rPr>
                <w:rFonts w:ascii="Calibri" w:eastAsia="Times New Roman" w:hAnsi="Calibri" w:cs="Calibri"/>
                <w:b/>
                <w:bCs/>
                <w:color w:val="000000"/>
                <w:sz w:val="22"/>
                <w:szCs w:val="22"/>
                <w:lang w:eastAsia="tr-TR"/>
              </w:rPr>
              <w:t>1.013.762</w:t>
            </w:r>
          </w:p>
        </w:tc>
        <w:tc>
          <w:tcPr>
            <w:tcW w:w="1441"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5B00BB32" w14:textId="77777777" w:rsidR="000C248B" w:rsidRPr="000C248B" w:rsidRDefault="000C248B" w:rsidP="000C248B">
            <w:pPr>
              <w:spacing w:after="0" w:line="240" w:lineRule="auto"/>
              <w:jc w:val="right"/>
              <w:rPr>
                <w:rFonts w:ascii="Calibri" w:eastAsia="Times New Roman" w:hAnsi="Calibri" w:cs="Calibri"/>
                <w:b/>
                <w:bCs/>
                <w:color w:val="000000"/>
                <w:sz w:val="22"/>
                <w:szCs w:val="22"/>
                <w:lang w:eastAsia="tr-TR"/>
              </w:rPr>
            </w:pPr>
            <w:r w:rsidRPr="000C248B">
              <w:rPr>
                <w:rFonts w:ascii="Calibri" w:eastAsia="Times New Roman" w:hAnsi="Calibri" w:cs="Calibri"/>
                <w:b/>
                <w:bCs/>
                <w:color w:val="000000"/>
                <w:sz w:val="22"/>
                <w:szCs w:val="22"/>
                <w:lang w:eastAsia="tr-TR"/>
              </w:rPr>
              <w:t>1.155.514</w:t>
            </w:r>
          </w:p>
        </w:tc>
        <w:tc>
          <w:tcPr>
            <w:tcW w:w="1051"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461A4D72" w14:textId="77777777" w:rsidR="000C248B" w:rsidRPr="000C248B" w:rsidRDefault="000C248B" w:rsidP="000C248B">
            <w:pPr>
              <w:spacing w:after="0" w:line="240" w:lineRule="auto"/>
              <w:jc w:val="right"/>
              <w:rPr>
                <w:rFonts w:ascii="Calibri" w:eastAsia="Times New Roman" w:hAnsi="Calibri" w:cs="Calibri"/>
                <w:b/>
                <w:bCs/>
                <w:color w:val="006100"/>
                <w:sz w:val="22"/>
                <w:szCs w:val="22"/>
                <w:lang w:eastAsia="tr-TR"/>
              </w:rPr>
            </w:pPr>
            <w:r w:rsidRPr="000C248B">
              <w:rPr>
                <w:rFonts w:ascii="Calibri" w:eastAsia="Times New Roman" w:hAnsi="Calibri" w:cs="Calibri"/>
                <w:b/>
                <w:bCs/>
                <w:color w:val="006100"/>
                <w:sz w:val="22"/>
                <w:szCs w:val="22"/>
                <w:lang w:eastAsia="tr-TR"/>
              </w:rPr>
              <w:t>14,0%</w:t>
            </w:r>
          </w:p>
        </w:tc>
      </w:tr>
    </w:tbl>
    <w:p w14:paraId="2964C134" w14:textId="77777777" w:rsidR="007E4B5A" w:rsidRDefault="007E4B5A" w:rsidP="002B6338">
      <w:pPr>
        <w:jc w:val="both"/>
        <w:rPr>
          <w:rFonts w:cstheme="minorHAnsi"/>
        </w:rPr>
      </w:pPr>
    </w:p>
    <w:p w14:paraId="54B6B770" w14:textId="2DCC52FA" w:rsidR="002B6338" w:rsidRPr="005E3890" w:rsidRDefault="00792322" w:rsidP="00792322">
      <w:pPr>
        <w:pStyle w:val="ListeParagraf"/>
        <w:numPr>
          <w:ilvl w:val="1"/>
          <w:numId w:val="1"/>
        </w:numPr>
        <w:tabs>
          <w:tab w:val="left" w:pos="567"/>
        </w:tabs>
        <w:ind w:left="0" w:firstLine="0"/>
        <w:jc w:val="both"/>
        <w:rPr>
          <w:rFonts w:cstheme="minorHAnsi"/>
          <w:b/>
          <w:bCs/>
          <w:sz w:val="24"/>
          <w:szCs w:val="24"/>
        </w:rPr>
      </w:pPr>
      <w:r w:rsidRPr="005E3890">
        <w:rPr>
          <w:rFonts w:cstheme="minorHAnsi"/>
          <w:b/>
          <w:bCs/>
          <w:sz w:val="24"/>
          <w:szCs w:val="24"/>
        </w:rPr>
        <w:t>Liman Başkanlıkları Bazında Toplam Yükte Tonaj ve Büyüme Oranları</w:t>
      </w:r>
    </w:p>
    <w:p w14:paraId="2D783D0B" w14:textId="6BA4B1D0" w:rsidR="00025766" w:rsidRPr="006C3668" w:rsidRDefault="004030A2" w:rsidP="006C3668">
      <w:pPr>
        <w:jc w:val="both"/>
        <w:rPr>
          <w:rFonts w:cstheme="minorHAnsi"/>
          <w:sz w:val="24"/>
          <w:szCs w:val="24"/>
        </w:rPr>
      </w:pPr>
      <w:r w:rsidRPr="00AA1136">
        <w:rPr>
          <w:rFonts w:cstheme="minorHAnsi"/>
          <w:sz w:val="24"/>
          <w:szCs w:val="24"/>
        </w:rPr>
        <w:t xml:space="preserve">Liman başkanlıkları açısından Toplam Yükteki değişime baktığımızda </w:t>
      </w:r>
      <w:r w:rsidR="00A838C3" w:rsidRPr="00AA1136">
        <w:rPr>
          <w:rFonts w:cstheme="minorHAnsi"/>
          <w:sz w:val="24"/>
          <w:szCs w:val="24"/>
        </w:rPr>
        <w:t xml:space="preserve">2023 yılında ilk kez Kocaeli’ni </w:t>
      </w:r>
      <w:r w:rsidR="00017790" w:rsidRPr="00AA1136">
        <w:rPr>
          <w:rFonts w:cstheme="minorHAnsi"/>
          <w:sz w:val="24"/>
          <w:szCs w:val="24"/>
        </w:rPr>
        <w:t>geçerek</w:t>
      </w:r>
      <w:r w:rsidR="00A838C3" w:rsidRPr="00AA1136">
        <w:rPr>
          <w:rFonts w:cstheme="minorHAnsi"/>
          <w:sz w:val="24"/>
          <w:szCs w:val="24"/>
        </w:rPr>
        <w:t xml:space="preserve"> birinciliğe oturan Aliağa liman başkanlığının 2024 yılında da bu liderliğini </w:t>
      </w:r>
      <w:r w:rsidR="00017790" w:rsidRPr="00AA1136">
        <w:rPr>
          <w:rFonts w:cstheme="minorHAnsi"/>
          <w:sz w:val="24"/>
          <w:szCs w:val="24"/>
        </w:rPr>
        <w:t>çok küçük bir farkla (64</w:t>
      </w:r>
      <w:r w:rsidR="00151FDA">
        <w:rPr>
          <w:rFonts w:cstheme="minorHAnsi"/>
          <w:sz w:val="24"/>
          <w:szCs w:val="24"/>
        </w:rPr>
        <w:t xml:space="preserve"> bin </w:t>
      </w:r>
      <w:r w:rsidR="00017790" w:rsidRPr="00AA1136">
        <w:rPr>
          <w:rFonts w:cstheme="minorHAnsi"/>
          <w:sz w:val="24"/>
          <w:szCs w:val="24"/>
        </w:rPr>
        <w:t xml:space="preserve">ton) koruduğu görülmektedir. </w:t>
      </w:r>
      <w:r w:rsidR="00B82354" w:rsidRPr="00AA1136">
        <w:rPr>
          <w:rFonts w:cstheme="minorHAnsi"/>
          <w:sz w:val="24"/>
          <w:szCs w:val="24"/>
        </w:rPr>
        <w:t xml:space="preserve">Aliağa liman başkanlığının son </w:t>
      </w:r>
      <w:r w:rsidR="001F0BA4" w:rsidRPr="00AA1136">
        <w:rPr>
          <w:rFonts w:cstheme="minorHAnsi"/>
          <w:sz w:val="24"/>
          <w:szCs w:val="24"/>
        </w:rPr>
        <w:t>10</w:t>
      </w:r>
      <w:r w:rsidR="00283317" w:rsidRPr="00AA1136">
        <w:rPr>
          <w:rFonts w:cstheme="minorHAnsi"/>
          <w:sz w:val="24"/>
          <w:szCs w:val="24"/>
        </w:rPr>
        <w:t xml:space="preserve"> yıldaki </w:t>
      </w:r>
      <w:r w:rsidR="001F0BA4" w:rsidRPr="00AA1136">
        <w:rPr>
          <w:rFonts w:cstheme="minorHAnsi"/>
          <w:sz w:val="24"/>
          <w:szCs w:val="24"/>
        </w:rPr>
        <w:t xml:space="preserve">kademeli </w:t>
      </w:r>
      <w:r w:rsidR="00283317" w:rsidRPr="00AA1136">
        <w:rPr>
          <w:rFonts w:cstheme="minorHAnsi"/>
          <w:sz w:val="24"/>
          <w:szCs w:val="24"/>
        </w:rPr>
        <w:t xml:space="preserve">büyümesinde sadece bu bölgedeki konteyner limanlarının </w:t>
      </w:r>
      <w:r w:rsidR="001F0BA4" w:rsidRPr="00AA1136">
        <w:rPr>
          <w:rFonts w:cstheme="minorHAnsi"/>
          <w:sz w:val="24"/>
          <w:szCs w:val="24"/>
        </w:rPr>
        <w:t xml:space="preserve">kapasite artışlarıyla sağladıkları ilave </w:t>
      </w:r>
      <w:r w:rsidR="00440CE5">
        <w:rPr>
          <w:rFonts w:cstheme="minorHAnsi"/>
          <w:sz w:val="24"/>
          <w:szCs w:val="24"/>
        </w:rPr>
        <w:t xml:space="preserve">konteyner miktarına (tonaj olarak) ilave olarak Aliağa liman başkanlığı sınırları içinde </w:t>
      </w:r>
      <w:r w:rsidR="00283317" w:rsidRPr="00AA1136">
        <w:rPr>
          <w:rFonts w:cstheme="minorHAnsi"/>
          <w:sz w:val="24"/>
          <w:szCs w:val="24"/>
        </w:rPr>
        <w:t>faaliyete geçen Star Rafinerisi (SOCAR) ve diğer iki LNG terminal</w:t>
      </w:r>
      <w:r w:rsidR="00440CE5">
        <w:rPr>
          <w:rFonts w:cstheme="minorHAnsi"/>
          <w:sz w:val="24"/>
          <w:szCs w:val="24"/>
        </w:rPr>
        <w:t xml:space="preserve">inin </w:t>
      </w:r>
      <w:r w:rsidR="00283317" w:rsidRPr="00AA1136">
        <w:rPr>
          <w:rFonts w:cstheme="minorHAnsi"/>
          <w:sz w:val="24"/>
          <w:szCs w:val="24"/>
        </w:rPr>
        <w:t xml:space="preserve">(EGE Gaz ve ETKİ </w:t>
      </w:r>
      <w:r w:rsidR="00980EA6" w:rsidRPr="00AA1136">
        <w:rPr>
          <w:rFonts w:cstheme="minorHAnsi"/>
          <w:sz w:val="24"/>
          <w:szCs w:val="24"/>
        </w:rPr>
        <w:t xml:space="preserve">LNG Limanı) </w:t>
      </w:r>
      <w:r w:rsidR="001F0BA4" w:rsidRPr="00AA1136">
        <w:rPr>
          <w:rFonts w:cstheme="minorHAnsi"/>
          <w:sz w:val="24"/>
          <w:szCs w:val="24"/>
        </w:rPr>
        <w:t xml:space="preserve">önemli bir etkisi vardır. </w:t>
      </w:r>
      <w:r w:rsidR="00440CE5">
        <w:rPr>
          <w:rFonts w:cstheme="minorHAnsi"/>
          <w:sz w:val="24"/>
          <w:szCs w:val="24"/>
        </w:rPr>
        <w:t xml:space="preserve">Türkiye’ye boru hatlarından </w:t>
      </w:r>
      <w:r w:rsidR="00CF4FEC">
        <w:rPr>
          <w:rFonts w:cstheme="minorHAnsi"/>
          <w:sz w:val="24"/>
          <w:szCs w:val="24"/>
        </w:rPr>
        <w:t xml:space="preserve">gelen doğal gaza ilave olarak LNG gemileriyle sıvılaştırılmış LNG tonajı da oldukça artmıştır. </w:t>
      </w:r>
      <w:r w:rsidR="002943F3">
        <w:rPr>
          <w:rFonts w:cstheme="minorHAnsi"/>
          <w:sz w:val="24"/>
          <w:szCs w:val="24"/>
        </w:rPr>
        <w:t>Yine 2025</w:t>
      </w:r>
      <w:r w:rsidR="00151FDA">
        <w:rPr>
          <w:rFonts w:cstheme="minorHAnsi"/>
          <w:sz w:val="24"/>
          <w:szCs w:val="24"/>
        </w:rPr>
        <w:t xml:space="preserve"> </w:t>
      </w:r>
      <w:r w:rsidR="002943F3">
        <w:rPr>
          <w:rFonts w:cstheme="minorHAnsi"/>
          <w:sz w:val="24"/>
          <w:szCs w:val="24"/>
        </w:rPr>
        <w:t xml:space="preserve">yılının Ocak ayı </w:t>
      </w:r>
      <w:r w:rsidR="002943F3">
        <w:rPr>
          <w:rFonts w:cstheme="minorHAnsi"/>
          <w:sz w:val="24"/>
          <w:szCs w:val="24"/>
        </w:rPr>
        <w:lastRenderedPageBreak/>
        <w:t xml:space="preserve">gerçekleşmelerine baktığımızda </w:t>
      </w:r>
      <w:r w:rsidR="00B83AEF" w:rsidRPr="00AA1136">
        <w:rPr>
          <w:rFonts w:cstheme="minorHAnsi"/>
          <w:sz w:val="24"/>
          <w:szCs w:val="24"/>
        </w:rPr>
        <w:t>Ceyhan, Mersin</w:t>
      </w:r>
      <w:r w:rsidR="00F87D11" w:rsidRPr="00AA1136">
        <w:rPr>
          <w:rFonts w:cstheme="minorHAnsi"/>
          <w:sz w:val="24"/>
          <w:szCs w:val="24"/>
        </w:rPr>
        <w:t xml:space="preserve">, Ambarlı ve Samsun liman başkanlıklarında düşüler yaşanırken Kocaeli, </w:t>
      </w:r>
      <w:r w:rsidR="00EE3AEA" w:rsidRPr="00AA1136">
        <w:rPr>
          <w:rFonts w:cstheme="minorHAnsi"/>
          <w:sz w:val="24"/>
          <w:szCs w:val="24"/>
        </w:rPr>
        <w:t>Aliağa</w:t>
      </w:r>
      <w:r w:rsidR="00F87D11" w:rsidRPr="00AA1136">
        <w:rPr>
          <w:rFonts w:cstheme="minorHAnsi"/>
          <w:sz w:val="24"/>
          <w:szCs w:val="24"/>
        </w:rPr>
        <w:t xml:space="preserve">, İskenderun, </w:t>
      </w:r>
      <w:r w:rsidR="00EE3AEA" w:rsidRPr="00AA1136">
        <w:rPr>
          <w:rFonts w:cstheme="minorHAnsi"/>
          <w:sz w:val="24"/>
          <w:szCs w:val="24"/>
        </w:rPr>
        <w:t>Tekirdağ, Gemlik ve Karabiga gibi liman başkanlıkları büyümüştür.</w:t>
      </w:r>
    </w:p>
    <w:p w14:paraId="44FCB493" w14:textId="1A403D31" w:rsidR="000C7E88" w:rsidRPr="005E3890" w:rsidRDefault="00DE33C3" w:rsidP="00CA700A">
      <w:pPr>
        <w:jc w:val="center"/>
        <w:rPr>
          <w:rFonts w:cstheme="minorHAnsi"/>
          <w:sz w:val="22"/>
          <w:szCs w:val="22"/>
        </w:rPr>
      </w:pPr>
      <w:r w:rsidRPr="005E3890">
        <w:rPr>
          <w:rFonts w:cstheme="minorHAnsi"/>
          <w:b/>
          <w:bCs/>
          <w:sz w:val="22"/>
          <w:szCs w:val="22"/>
          <w:u w:val="single"/>
        </w:rPr>
        <w:t>Tablo-</w:t>
      </w:r>
      <w:r w:rsidR="005D6691" w:rsidRPr="005E3890">
        <w:rPr>
          <w:rFonts w:cstheme="minorHAnsi"/>
          <w:b/>
          <w:bCs/>
          <w:sz w:val="22"/>
          <w:szCs w:val="22"/>
          <w:u w:val="single"/>
        </w:rPr>
        <w:t>8</w:t>
      </w:r>
      <w:r w:rsidRPr="005E3890">
        <w:rPr>
          <w:rFonts w:cstheme="minorHAnsi"/>
          <w:b/>
          <w:bCs/>
          <w:sz w:val="22"/>
          <w:szCs w:val="22"/>
          <w:u w:val="single"/>
        </w:rPr>
        <w:t>:</w:t>
      </w:r>
      <w:r w:rsidRPr="005E3890">
        <w:rPr>
          <w:rFonts w:cstheme="minorHAnsi"/>
          <w:sz w:val="22"/>
          <w:szCs w:val="22"/>
        </w:rPr>
        <w:t xml:space="preserve"> </w:t>
      </w:r>
      <w:r w:rsidRPr="005E3890">
        <w:rPr>
          <w:rFonts w:cstheme="minorHAnsi"/>
          <w:b/>
          <w:bCs/>
          <w:sz w:val="22"/>
          <w:szCs w:val="22"/>
        </w:rPr>
        <w:t xml:space="preserve">Liman Başkanlıkları Bazında </w:t>
      </w:r>
      <w:r w:rsidR="00CA700A" w:rsidRPr="005E3890">
        <w:rPr>
          <w:rFonts w:cstheme="minorHAnsi"/>
          <w:b/>
          <w:bCs/>
          <w:sz w:val="22"/>
          <w:szCs w:val="22"/>
        </w:rPr>
        <w:t xml:space="preserve">Toplam </w:t>
      </w:r>
      <w:r w:rsidRPr="005E3890">
        <w:rPr>
          <w:rFonts w:cstheme="minorHAnsi"/>
          <w:b/>
          <w:bCs/>
          <w:sz w:val="22"/>
          <w:szCs w:val="22"/>
        </w:rPr>
        <w:t xml:space="preserve">Yükte </w:t>
      </w:r>
      <w:r w:rsidR="00CA700A" w:rsidRPr="005E3890">
        <w:rPr>
          <w:rFonts w:cstheme="minorHAnsi"/>
          <w:b/>
          <w:bCs/>
          <w:sz w:val="22"/>
          <w:szCs w:val="22"/>
        </w:rPr>
        <w:t xml:space="preserve">Tonaj ve </w:t>
      </w:r>
      <w:r w:rsidRPr="005E3890">
        <w:rPr>
          <w:rFonts w:cstheme="minorHAnsi"/>
          <w:b/>
          <w:bCs/>
          <w:sz w:val="22"/>
          <w:szCs w:val="22"/>
        </w:rPr>
        <w:t>Büyüme Oranları (2023-2024)</w:t>
      </w:r>
    </w:p>
    <w:p w14:paraId="1782CD44" w14:textId="70A3C2F6" w:rsidR="006029B6" w:rsidRDefault="00E6237E" w:rsidP="00CA700A">
      <w:pPr>
        <w:rPr>
          <w:rFonts w:cstheme="minorHAnsi"/>
        </w:rPr>
      </w:pPr>
      <w:r w:rsidRPr="008F6616">
        <w:rPr>
          <w:noProof/>
        </w:rPr>
        <w:drawing>
          <wp:inline distT="0" distB="0" distL="0" distR="0" wp14:anchorId="557B58C4" wp14:editId="5F5FE93D">
            <wp:extent cx="6179820" cy="1134893"/>
            <wp:effectExtent l="0" t="0" r="0" b="8255"/>
            <wp:docPr id="80127187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2399" cy="1139040"/>
                    </a:xfrm>
                    <a:prstGeom prst="rect">
                      <a:avLst/>
                    </a:prstGeom>
                    <a:noFill/>
                    <a:ln>
                      <a:noFill/>
                    </a:ln>
                  </pic:spPr>
                </pic:pic>
              </a:graphicData>
            </a:graphic>
          </wp:inline>
        </w:drawing>
      </w:r>
    </w:p>
    <w:p w14:paraId="6C6F0C9C" w14:textId="720604D7" w:rsidR="00CD2262" w:rsidRPr="00D64D53" w:rsidRDefault="001F0BA4" w:rsidP="002E752B">
      <w:pPr>
        <w:jc w:val="both"/>
        <w:rPr>
          <w:rFonts w:cstheme="minorHAnsi"/>
          <w:sz w:val="24"/>
          <w:szCs w:val="24"/>
        </w:rPr>
      </w:pPr>
      <w:r w:rsidRPr="00D64D53">
        <w:rPr>
          <w:rFonts w:cstheme="minorHAnsi"/>
          <w:sz w:val="24"/>
          <w:szCs w:val="24"/>
        </w:rPr>
        <w:t>Ceyhan</w:t>
      </w:r>
      <w:r w:rsidR="00586213" w:rsidRPr="00D64D53">
        <w:rPr>
          <w:rFonts w:cstheme="minorHAnsi"/>
          <w:sz w:val="24"/>
          <w:szCs w:val="24"/>
        </w:rPr>
        <w:t xml:space="preserve"> liman başkanlığında </w:t>
      </w:r>
      <w:r w:rsidRPr="00D64D53">
        <w:rPr>
          <w:rFonts w:cstheme="minorHAnsi"/>
          <w:sz w:val="24"/>
          <w:szCs w:val="24"/>
        </w:rPr>
        <w:t>yükün çok büyük bir ağırlığını oluşturan BTC (Bakü-Tiflis-Ceyhan) ve BOTAŞ (Kerkük-Yumurtalık) boru hattı terminallerinde elleçlenen hampetrol tonajları</w:t>
      </w:r>
      <w:r w:rsidR="00CE2189" w:rsidRPr="00D64D53">
        <w:rPr>
          <w:rFonts w:cstheme="minorHAnsi"/>
          <w:sz w:val="24"/>
          <w:szCs w:val="24"/>
        </w:rPr>
        <w:t xml:space="preserve">nın </w:t>
      </w:r>
      <w:r w:rsidR="002B519E">
        <w:rPr>
          <w:rFonts w:cstheme="minorHAnsi"/>
          <w:sz w:val="24"/>
          <w:szCs w:val="24"/>
        </w:rPr>
        <w:t xml:space="preserve">toplam yüke </w:t>
      </w:r>
      <w:r w:rsidR="00CE2189" w:rsidRPr="00D64D53">
        <w:rPr>
          <w:rFonts w:cstheme="minorHAnsi"/>
          <w:sz w:val="24"/>
          <w:szCs w:val="24"/>
        </w:rPr>
        <w:t xml:space="preserve">etkisi </w:t>
      </w:r>
      <w:r w:rsidR="002B519E">
        <w:rPr>
          <w:rFonts w:cstheme="minorHAnsi"/>
          <w:sz w:val="24"/>
          <w:szCs w:val="24"/>
        </w:rPr>
        <w:t xml:space="preserve">son derece </w:t>
      </w:r>
      <w:r w:rsidR="00CE2189" w:rsidRPr="00D64D53">
        <w:rPr>
          <w:rFonts w:cstheme="minorHAnsi"/>
          <w:sz w:val="24"/>
          <w:szCs w:val="24"/>
        </w:rPr>
        <w:t>büyüktür. Ö</w:t>
      </w:r>
      <w:r w:rsidRPr="00D64D53">
        <w:rPr>
          <w:rFonts w:cstheme="minorHAnsi"/>
          <w:sz w:val="24"/>
          <w:szCs w:val="24"/>
        </w:rPr>
        <w:t xml:space="preserve">zellikle Kerkük-Yumurtalık </w:t>
      </w:r>
      <w:r w:rsidR="003E601A">
        <w:rPr>
          <w:rFonts w:cstheme="minorHAnsi"/>
          <w:sz w:val="24"/>
          <w:szCs w:val="24"/>
        </w:rPr>
        <w:t xml:space="preserve">boru </w:t>
      </w:r>
      <w:r w:rsidRPr="00D64D53">
        <w:rPr>
          <w:rFonts w:cstheme="minorHAnsi"/>
          <w:sz w:val="24"/>
          <w:szCs w:val="24"/>
        </w:rPr>
        <w:t xml:space="preserve">hattının </w:t>
      </w:r>
      <w:r w:rsidR="00586213" w:rsidRPr="00D64D53">
        <w:rPr>
          <w:rFonts w:cstheme="minorHAnsi"/>
          <w:sz w:val="24"/>
          <w:szCs w:val="24"/>
        </w:rPr>
        <w:t xml:space="preserve">son 10 yıldır </w:t>
      </w:r>
      <w:r w:rsidR="00CE2189" w:rsidRPr="00D64D53">
        <w:rPr>
          <w:rFonts w:cstheme="minorHAnsi"/>
          <w:sz w:val="24"/>
          <w:szCs w:val="24"/>
        </w:rPr>
        <w:t xml:space="preserve">kademli olarak </w:t>
      </w:r>
      <w:r w:rsidR="00586213" w:rsidRPr="00D64D53">
        <w:rPr>
          <w:rFonts w:cstheme="minorHAnsi"/>
          <w:sz w:val="24"/>
          <w:szCs w:val="24"/>
        </w:rPr>
        <w:t>düşen tonajları</w:t>
      </w:r>
      <w:r w:rsidR="006E406A" w:rsidRPr="00D64D53">
        <w:rPr>
          <w:rFonts w:cstheme="minorHAnsi"/>
          <w:sz w:val="24"/>
          <w:szCs w:val="24"/>
        </w:rPr>
        <w:t xml:space="preserve">yla birlikte </w:t>
      </w:r>
      <w:r w:rsidR="00431391">
        <w:rPr>
          <w:rFonts w:cstheme="minorHAnsi"/>
          <w:sz w:val="24"/>
          <w:szCs w:val="24"/>
        </w:rPr>
        <w:t xml:space="preserve">bu boru hattından </w:t>
      </w:r>
      <w:r w:rsidR="006E406A" w:rsidRPr="00D64D53">
        <w:rPr>
          <w:rFonts w:cstheme="minorHAnsi"/>
          <w:sz w:val="24"/>
          <w:szCs w:val="24"/>
        </w:rPr>
        <w:t xml:space="preserve">elleçlenen hampetrol miktarı </w:t>
      </w:r>
      <w:r w:rsidR="00586213" w:rsidRPr="00D64D53">
        <w:rPr>
          <w:rFonts w:cstheme="minorHAnsi"/>
          <w:sz w:val="24"/>
          <w:szCs w:val="24"/>
        </w:rPr>
        <w:t xml:space="preserve">2023 yılında </w:t>
      </w:r>
      <w:r w:rsidR="008A4AF5" w:rsidRPr="00D64D53">
        <w:rPr>
          <w:rFonts w:cstheme="minorHAnsi"/>
          <w:sz w:val="24"/>
          <w:szCs w:val="24"/>
        </w:rPr>
        <w:t>2</w:t>
      </w:r>
      <w:r w:rsidR="008868A2" w:rsidRPr="00D64D53">
        <w:rPr>
          <w:rFonts w:cstheme="minorHAnsi"/>
          <w:sz w:val="24"/>
          <w:szCs w:val="24"/>
        </w:rPr>
        <w:t xml:space="preserve">,1 milyon tona </w:t>
      </w:r>
      <w:r w:rsidR="006E406A" w:rsidRPr="00D64D53">
        <w:rPr>
          <w:rFonts w:cstheme="minorHAnsi"/>
          <w:sz w:val="24"/>
          <w:szCs w:val="24"/>
        </w:rPr>
        <w:t xml:space="preserve">inmiş, </w:t>
      </w:r>
      <w:r w:rsidR="00586213" w:rsidRPr="00D64D53">
        <w:rPr>
          <w:rFonts w:cstheme="minorHAnsi"/>
          <w:sz w:val="24"/>
          <w:szCs w:val="24"/>
        </w:rPr>
        <w:t xml:space="preserve">nihayetinde 2024 yılında ise </w:t>
      </w:r>
      <w:r w:rsidR="008868A2" w:rsidRPr="00D64D53">
        <w:rPr>
          <w:rFonts w:cstheme="minorHAnsi"/>
          <w:sz w:val="24"/>
          <w:szCs w:val="24"/>
        </w:rPr>
        <w:t xml:space="preserve">bu boru hattı çalışmamıştır. </w:t>
      </w:r>
      <w:r w:rsidR="00431391">
        <w:rPr>
          <w:rFonts w:cstheme="minorHAnsi"/>
          <w:sz w:val="24"/>
          <w:szCs w:val="24"/>
        </w:rPr>
        <w:t xml:space="preserve">Son 2023 yılı öncesinde ortalama 10 milyon ton </w:t>
      </w:r>
      <w:r w:rsidR="003E601A">
        <w:rPr>
          <w:rFonts w:cstheme="minorHAnsi"/>
          <w:sz w:val="24"/>
          <w:szCs w:val="24"/>
        </w:rPr>
        <w:t xml:space="preserve">hampetrol elleçlenen </w:t>
      </w:r>
      <w:r w:rsidR="003E601A" w:rsidRPr="00D64D53">
        <w:rPr>
          <w:rFonts w:cstheme="minorHAnsi"/>
          <w:sz w:val="24"/>
          <w:szCs w:val="24"/>
        </w:rPr>
        <w:t xml:space="preserve">Kerkük-Yumurtalık </w:t>
      </w:r>
      <w:r w:rsidR="003E601A">
        <w:rPr>
          <w:rFonts w:cstheme="minorHAnsi"/>
          <w:sz w:val="24"/>
          <w:szCs w:val="24"/>
        </w:rPr>
        <w:t xml:space="preserve">boru </w:t>
      </w:r>
      <w:r w:rsidR="003E601A" w:rsidRPr="00D64D53">
        <w:rPr>
          <w:rFonts w:cstheme="minorHAnsi"/>
          <w:sz w:val="24"/>
          <w:szCs w:val="24"/>
        </w:rPr>
        <w:t>hattı</w:t>
      </w:r>
      <w:r w:rsidR="003E601A">
        <w:rPr>
          <w:rFonts w:cstheme="minorHAnsi"/>
          <w:sz w:val="24"/>
          <w:szCs w:val="24"/>
        </w:rPr>
        <w:t xml:space="preserve">nın ve terminalinin giderek düşen </w:t>
      </w:r>
      <w:r w:rsidR="00C91B97">
        <w:rPr>
          <w:rFonts w:cstheme="minorHAnsi"/>
          <w:sz w:val="24"/>
          <w:szCs w:val="24"/>
        </w:rPr>
        <w:t xml:space="preserve">tonajları toplam yük içinde yer alan dökme sıvı yük miktarlarını büyük ölçüde değiştirebilmektedir. </w:t>
      </w:r>
    </w:p>
    <w:p w14:paraId="0D4ECB38" w14:textId="4F75A705" w:rsidR="00792322" w:rsidRPr="00D64D53" w:rsidRDefault="00792322" w:rsidP="00792322">
      <w:pPr>
        <w:pStyle w:val="ListeParagraf"/>
        <w:numPr>
          <w:ilvl w:val="1"/>
          <w:numId w:val="1"/>
        </w:numPr>
        <w:tabs>
          <w:tab w:val="left" w:pos="567"/>
        </w:tabs>
        <w:ind w:left="0" w:firstLine="0"/>
        <w:jc w:val="both"/>
        <w:rPr>
          <w:rFonts w:cstheme="minorHAnsi"/>
          <w:b/>
          <w:bCs/>
          <w:sz w:val="24"/>
          <w:szCs w:val="24"/>
        </w:rPr>
      </w:pPr>
      <w:r w:rsidRPr="00D64D53">
        <w:rPr>
          <w:rFonts w:cstheme="minorHAnsi"/>
          <w:b/>
          <w:bCs/>
          <w:sz w:val="24"/>
          <w:szCs w:val="24"/>
        </w:rPr>
        <w:t>Kargo Tiplerine Göre Toplam Yükte Tonaj ve Büyüme Oranları</w:t>
      </w:r>
    </w:p>
    <w:p w14:paraId="093DF117" w14:textId="66D5A910" w:rsidR="00CD7373" w:rsidRPr="00D64D53" w:rsidRDefault="003A7E4F" w:rsidP="002E752B">
      <w:pPr>
        <w:jc w:val="both"/>
        <w:rPr>
          <w:rFonts w:cstheme="minorHAnsi"/>
          <w:sz w:val="24"/>
          <w:szCs w:val="24"/>
        </w:rPr>
      </w:pPr>
      <w:r w:rsidRPr="00D64D53">
        <w:rPr>
          <w:rFonts w:cstheme="minorHAnsi"/>
          <w:sz w:val="24"/>
          <w:szCs w:val="24"/>
        </w:rPr>
        <w:t xml:space="preserve">Aşağıdaki </w:t>
      </w:r>
      <w:r w:rsidR="00DC2678" w:rsidRPr="00D64D53">
        <w:rPr>
          <w:rFonts w:cstheme="minorHAnsi"/>
          <w:sz w:val="24"/>
          <w:szCs w:val="24"/>
        </w:rPr>
        <w:t>Tablo-</w:t>
      </w:r>
      <w:r w:rsidR="00B02101" w:rsidRPr="00D64D53">
        <w:rPr>
          <w:rFonts w:cstheme="minorHAnsi"/>
          <w:sz w:val="24"/>
          <w:szCs w:val="24"/>
        </w:rPr>
        <w:t>9</w:t>
      </w:r>
      <w:r w:rsidR="00DC2678" w:rsidRPr="00D64D53">
        <w:rPr>
          <w:rFonts w:cstheme="minorHAnsi"/>
          <w:sz w:val="24"/>
          <w:szCs w:val="24"/>
        </w:rPr>
        <w:t>’</w:t>
      </w:r>
      <w:r w:rsidR="00B02101" w:rsidRPr="00D64D53">
        <w:rPr>
          <w:rFonts w:cstheme="minorHAnsi"/>
          <w:sz w:val="24"/>
          <w:szCs w:val="24"/>
        </w:rPr>
        <w:t>da</w:t>
      </w:r>
      <w:r w:rsidR="00DC2678" w:rsidRPr="00D64D53">
        <w:rPr>
          <w:rFonts w:cstheme="minorHAnsi"/>
          <w:sz w:val="24"/>
          <w:szCs w:val="24"/>
        </w:rPr>
        <w:t xml:space="preserve"> yer alan, kargo tipleri bazında limanlarımızda elleçlenen toplam yüke </w:t>
      </w:r>
      <w:r w:rsidRPr="00D64D53">
        <w:rPr>
          <w:rFonts w:cstheme="minorHAnsi"/>
          <w:sz w:val="24"/>
          <w:szCs w:val="24"/>
        </w:rPr>
        <w:t>baktığımızda</w:t>
      </w:r>
      <w:r w:rsidR="007D61EC" w:rsidRPr="00D64D53">
        <w:rPr>
          <w:rFonts w:cstheme="minorHAnsi"/>
          <w:sz w:val="24"/>
          <w:szCs w:val="24"/>
        </w:rPr>
        <w:t xml:space="preserve">; </w:t>
      </w:r>
      <w:r w:rsidR="003209C8" w:rsidRPr="00D64D53">
        <w:rPr>
          <w:rFonts w:cstheme="minorHAnsi"/>
          <w:sz w:val="24"/>
          <w:szCs w:val="24"/>
        </w:rPr>
        <w:t xml:space="preserve">2023 yılında </w:t>
      </w:r>
      <w:r w:rsidR="00DC2678" w:rsidRPr="00D64D53">
        <w:rPr>
          <w:rFonts w:cstheme="minorHAnsi"/>
          <w:sz w:val="24"/>
          <w:szCs w:val="24"/>
        </w:rPr>
        <w:t xml:space="preserve">toplam yük içinde </w:t>
      </w:r>
      <w:r w:rsidR="00BC3E57" w:rsidRPr="00D64D53">
        <w:rPr>
          <w:rFonts w:cstheme="minorHAnsi"/>
          <w:sz w:val="24"/>
          <w:szCs w:val="24"/>
        </w:rPr>
        <w:t xml:space="preserve">payı </w:t>
      </w:r>
      <w:r w:rsidR="00B8201D" w:rsidRPr="00D64D53">
        <w:rPr>
          <w:rFonts w:cstheme="minorHAnsi"/>
          <w:sz w:val="24"/>
          <w:szCs w:val="24"/>
        </w:rPr>
        <w:t>%2</w:t>
      </w:r>
      <w:r w:rsidR="0001593C" w:rsidRPr="00D64D53">
        <w:rPr>
          <w:rFonts w:cstheme="minorHAnsi"/>
          <w:sz w:val="24"/>
          <w:szCs w:val="24"/>
        </w:rPr>
        <w:t>9</w:t>
      </w:r>
      <w:r w:rsidR="00E114B5" w:rsidRPr="00D64D53">
        <w:rPr>
          <w:rFonts w:cstheme="minorHAnsi"/>
          <w:sz w:val="24"/>
          <w:szCs w:val="24"/>
        </w:rPr>
        <w:t>,</w:t>
      </w:r>
      <w:r w:rsidR="0001593C" w:rsidRPr="00D64D53">
        <w:rPr>
          <w:rFonts w:cstheme="minorHAnsi"/>
          <w:sz w:val="24"/>
          <w:szCs w:val="24"/>
        </w:rPr>
        <w:t>5</w:t>
      </w:r>
      <w:r w:rsidR="00B8201D" w:rsidRPr="00D64D53">
        <w:rPr>
          <w:rFonts w:cstheme="minorHAnsi"/>
          <w:sz w:val="24"/>
          <w:szCs w:val="24"/>
        </w:rPr>
        <w:t xml:space="preserve"> olan </w:t>
      </w:r>
      <w:r w:rsidR="00857EF3" w:rsidRPr="00D64D53">
        <w:rPr>
          <w:rFonts w:cstheme="minorHAnsi"/>
          <w:sz w:val="24"/>
          <w:szCs w:val="24"/>
        </w:rPr>
        <w:t xml:space="preserve">Kuru Dökme </w:t>
      </w:r>
      <w:r w:rsidR="005D7DFD">
        <w:rPr>
          <w:rFonts w:cstheme="minorHAnsi"/>
          <w:sz w:val="24"/>
          <w:szCs w:val="24"/>
        </w:rPr>
        <w:t>Y</w:t>
      </w:r>
      <w:r w:rsidR="00857EF3" w:rsidRPr="00D64D53">
        <w:rPr>
          <w:rFonts w:cstheme="minorHAnsi"/>
          <w:sz w:val="24"/>
          <w:szCs w:val="24"/>
        </w:rPr>
        <w:t xml:space="preserve">ük </w:t>
      </w:r>
      <w:r w:rsidR="00B02101" w:rsidRPr="00D64D53">
        <w:rPr>
          <w:rFonts w:cstheme="minorHAnsi"/>
          <w:sz w:val="24"/>
          <w:szCs w:val="24"/>
        </w:rPr>
        <w:t xml:space="preserve">miktarı </w:t>
      </w:r>
      <w:r w:rsidR="00B8201D" w:rsidRPr="00D64D53">
        <w:rPr>
          <w:rFonts w:cstheme="minorHAnsi"/>
          <w:sz w:val="24"/>
          <w:szCs w:val="24"/>
        </w:rPr>
        <w:t xml:space="preserve">2024 yılında </w:t>
      </w:r>
      <w:r w:rsidR="003209C8" w:rsidRPr="00D64D53">
        <w:rPr>
          <w:rFonts w:cstheme="minorHAnsi"/>
          <w:sz w:val="24"/>
          <w:szCs w:val="24"/>
        </w:rPr>
        <w:t xml:space="preserve">sadece </w:t>
      </w:r>
      <w:r w:rsidR="00C90146" w:rsidRPr="00D64D53">
        <w:rPr>
          <w:rFonts w:cstheme="minorHAnsi"/>
          <w:sz w:val="24"/>
          <w:szCs w:val="24"/>
        </w:rPr>
        <w:t>%1 oranında azal</w:t>
      </w:r>
      <w:r w:rsidR="0050427E">
        <w:rPr>
          <w:rFonts w:cstheme="minorHAnsi"/>
          <w:sz w:val="24"/>
          <w:szCs w:val="24"/>
        </w:rPr>
        <w:t xml:space="preserve">arak </w:t>
      </w:r>
      <w:r w:rsidR="00BC3E57" w:rsidRPr="00D64D53">
        <w:rPr>
          <w:rFonts w:cstheme="minorHAnsi"/>
          <w:sz w:val="24"/>
          <w:szCs w:val="24"/>
        </w:rPr>
        <w:t>%2</w:t>
      </w:r>
      <w:r w:rsidR="0001593C" w:rsidRPr="00D64D53">
        <w:rPr>
          <w:rFonts w:cstheme="minorHAnsi"/>
          <w:sz w:val="24"/>
          <w:szCs w:val="24"/>
        </w:rPr>
        <w:t xml:space="preserve">8,6’ya inmiştir. </w:t>
      </w:r>
      <w:r w:rsidR="009D3376" w:rsidRPr="00D64D53">
        <w:rPr>
          <w:rFonts w:cstheme="minorHAnsi"/>
          <w:sz w:val="24"/>
          <w:szCs w:val="24"/>
        </w:rPr>
        <w:t xml:space="preserve">Türkiye’de en yüksek </w:t>
      </w:r>
      <w:r w:rsidR="00BB291C" w:rsidRPr="00D64D53">
        <w:rPr>
          <w:rFonts w:cstheme="minorHAnsi"/>
          <w:sz w:val="24"/>
          <w:szCs w:val="24"/>
        </w:rPr>
        <w:t xml:space="preserve">kargo tipi olan Dökme Sıvı </w:t>
      </w:r>
      <w:r w:rsidR="005D7DFD">
        <w:rPr>
          <w:rFonts w:cstheme="minorHAnsi"/>
          <w:sz w:val="24"/>
          <w:szCs w:val="24"/>
        </w:rPr>
        <w:t>Y</w:t>
      </w:r>
      <w:r w:rsidR="00BB291C" w:rsidRPr="00D64D53">
        <w:rPr>
          <w:rFonts w:cstheme="minorHAnsi"/>
          <w:sz w:val="24"/>
          <w:szCs w:val="24"/>
        </w:rPr>
        <w:t>ükün çok büyük bir ağırlığını hampetrol</w:t>
      </w:r>
      <w:r w:rsidR="0097014B" w:rsidRPr="00D64D53">
        <w:rPr>
          <w:rFonts w:cstheme="minorHAnsi"/>
          <w:sz w:val="24"/>
          <w:szCs w:val="24"/>
        </w:rPr>
        <w:t xml:space="preserve">, LNG, LPG </w:t>
      </w:r>
      <w:r w:rsidR="00BB291C" w:rsidRPr="00D64D53">
        <w:rPr>
          <w:rFonts w:cstheme="minorHAnsi"/>
          <w:sz w:val="24"/>
          <w:szCs w:val="24"/>
        </w:rPr>
        <w:t>ve diğer akaryakıt ürün</w:t>
      </w:r>
      <w:r w:rsidR="0097014B" w:rsidRPr="00D64D53">
        <w:rPr>
          <w:rFonts w:cstheme="minorHAnsi"/>
          <w:sz w:val="24"/>
          <w:szCs w:val="24"/>
        </w:rPr>
        <w:t>l</w:t>
      </w:r>
      <w:r w:rsidR="00BB291C" w:rsidRPr="00D64D53">
        <w:rPr>
          <w:rFonts w:cstheme="minorHAnsi"/>
          <w:sz w:val="24"/>
          <w:szCs w:val="24"/>
        </w:rPr>
        <w:t xml:space="preserve">eri oluşturmaktadır. Yine bu yükler içinde yer alan </w:t>
      </w:r>
      <w:r w:rsidR="0097014B" w:rsidRPr="00D64D53">
        <w:rPr>
          <w:rFonts w:cstheme="minorHAnsi"/>
          <w:sz w:val="24"/>
          <w:szCs w:val="24"/>
        </w:rPr>
        <w:t xml:space="preserve">kimyasal ürünlerle bitkisel yağların bu yük içindeki oranı daha küçüktür. </w:t>
      </w:r>
    </w:p>
    <w:p w14:paraId="3D2261AE" w14:textId="4B02BDD6" w:rsidR="00523BD9" w:rsidRPr="00C91B97" w:rsidRDefault="00523BD9" w:rsidP="00523BD9">
      <w:pPr>
        <w:jc w:val="center"/>
        <w:rPr>
          <w:rFonts w:cstheme="minorHAnsi"/>
          <w:sz w:val="22"/>
          <w:szCs w:val="22"/>
        </w:rPr>
      </w:pPr>
      <w:r w:rsidRPr="00C91B97">
        <w:rPr>
          <w:rFonts w:cstheme="minorHAnsi"/>
          <w:b/>
          <w:bCs/>
          <w:sz w:val="22"/>
          <w:szCs w:val="22"/>
          <w:u w:val="single"/>
        </w:rPr>
        <w:t>Tablo-</w:t>
      </w:r>
      <w:r w:rsidR="00B02101" w:rsidRPr="00C91B97">
        <w:rPr>
          <w:rFonts w:cstheme="minorHAnsi"/>
          <w:b/>
          <w:bCs/>
          <w:sz w:val="22"/>
          <w:szCs w:val="22"/>
          <w:u w:val="single"/>
        </w:rPr>
        <w:t>9</w:t>
      </w:r>
      <w:r w:rsidRPr="00C91B97">
        <w:rPr>
          <w:rFonts w:cstheme="minorHAnsi"/>
          <w:b/>
          <w:bCs/>
          <w:sz w:val="22"/>
          <w:szCs w:val="22"/>
          <w:u w:val="single"/>
        </w:rPr>
        <w:t>:</w:t>
      </w:r>
      <w:r w:rsidRPr="00C91B97">
        <w:rPr>
          <w:rFonts w:cstheme="minorHAnsi"/>
          <w:sz w:val="22"/>
          <w:szCs w:val="22"/>
        </w:rPr>
        <w:t xml:space="preserve"> </w:t>
      </w:r>
      <w:r w:rsidRPr="00C91B97">
        <w:rPr>
          <w:rFonts w:eastAsia="Times New Roman" w:cs="Calibri"/>
          <w:b/>
          <w:bCs/>
          <w:color w:val="000000"/>
          <w:sz w:val="22"/>
          <w:szCs w:val="22"/>
          <w:lang w:eastAsia="tr-TR"/>
        </w:rPr>
        <w:t xml:space="preserve">Kargo Tiplerine Göre </w:t>
      </w:r>
      <w:r w:rsidRPr="00C91B97">
        <w:rPr>
          <w:rFonts w:cstheme="minorHAnsi"/>
          <w:b/>
          <w:bCs/>
          <w:sz w:val="22"/>
          <w:szCs w:val="22"/>
        </w:rPr>
        <w:t>Toplam Yükte Tonaj ve Büyüme Oranları (2023-2024)</w:t>
      </w:r>
    </w:p>
    <w:tbl>
      <w:tblPr>
        <w:tblW w:w="92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823"/>
        <w:gridCol w:w="1330"/>
        <w:gridCol w:w="1020"/>
        <w:gridCol w:w="1330"/>
        <w:gridCol w:w="1160"/>
        <w:gridCol w:w="1270"/>
        <w:gridCol w:w="1270"/>
      </w:tblGrid>
      <w:tr w:rsidR="00AB757A" w:rsidRPr="00931D60" w14:paraId="2A3B63DD" w14:textId="77777777" w:rsidTr="008E4222">
        <w:trPr>
          <w:trHeight w:val="590"/>
          <w:jc w:val="center"/>
        </w:trPr>
        <w:tc>
          <w:tcPr>
            <w:tcW w:w="1823" w:type="dxa"/>
            <w:shd w:val="clear" w:color="000000" w:fill="FFFF00"/>
            <w:noWrap/>
            <w:vAlign w:val="center"/>
            <w:hideMark/>
          </w:tcPr>
          <w:p w14:paraId="305C9BFF" w14:textId="77777777" w:rsidR="00AB757A" w:rsidRPr="00931D60" w:rsidRDefault="00AB757A" w:rsidP="00931D60">
            <w:pPr>
              <w:spacing w:after="0" w:line="240" w:lineRule="auto"/>
              <w:jc w:val="center"/>
              <w:rPr>
                <w:rFonts w:ascii="Aptos" w:eastAsia="Times New Roman" w:hAnsi="Aptos" w:cs="Times New Roman"/>
                <w:b/>
                <w:bCs/>
                <w:color w:val="000000"/>
                <w:lang w:eastAsia="tr-TR"/>
              </w:rPr>
            </w:pPr>
            <w:r w:rsidRPr="00931D60">
              <w:rPr>
                <w:rFonts w:ascii="Aptos" w:eastAsia="Times New Roman" w:hAnsi="Aptos" w:cs="Times New Roman"/>
                <w:b/>
                <w:bCs/>
                <w:color w:val="000000"/>
                <w:lang w:eastAsia="tr-TR"/>
              </w:rPr>
              <w:t>Kargo Tipi</w:t>
            </w:r>
          </w:p>
        </w:tc>
        <w:tc>
          <w:tcPr>
            <w:tcW w:w="1330" w:type="dxa"/>
            <w:shd w:val="clear" w:color="000000" w:fill="FFFF00"/>
            <w:noWrap/>
            <w:vAlign w:val="center"/>
            <w:hideMark/>
          </w:tcPr>
          <w:p w14:paraId="6BD943E6" w14:textId="59033A25" w:rsidR="00AB757A" w:rsidRPr="00931D60" w:rsidRDefault="00AB757A" w:rsidP="00931D60">
            <w:pPr>
              <w:spacing w:after="0" w:line="240" w:lineRule="auto"/>
              <w:jc w:val="center"/>
              <w:rPr>
                <w:rFonts w:ascii="Aptos" w:eastAsia="Times New Roman" w:hAnsi="Aptos" w:cs="Times New Roman"/>
                <w:b/>
                <w:bCs/>
                <w:color w:val="000000"/>
                <w:lang w:eastAsia="tr-TR"/>
              </w:rPr>
            </w:pPr>
            <w:r w:rsidRPr="00931D60">
              <w:rPr>
                <w:rFonts w:ascii="Aptos" w:eastAsia="Times New Roman" w:hAnsi="Aptos" w:cs="Times New Roman"/>
                <w:b/>
                <w:bCs/>
                <w:color w:val="000000"/>
                <w:lang w:eastAsia="tr-TR"/>
              </w:rPr>
              <w:t>2023</w:t>
            </w:r>
            <w:r>
              <w:rPr>
                <w:rFonts w:ascii="Aptos" w:eastAsia="Times New Roman" w:hAnsi="Aptos" w:cs="Times New Roman"/>
                <w:b/>
                <w:bCs/>
                <w:color w:val="000000"/>
                <w:lang w:eastAsia="tr-TR"/>
              </w:rPr>
              <w:t xml:space="preserve"> Yılı Tonajı (Ton)</w:t>
            </w:r>
          </w:p>
        </w:tc>
        <w:tc>
          <w:tcPr>
            <w:tcW w:w="1020" w:type="dxa"/>
            <w:shd w:val="clear" w:color="000000" w:fill="FFFF00"/>
            <w:vAlign w:val="center"/>
            <w:hideMark/>
          </w:tcPr>
          <w:p w14:paraId="090ECC96" w14:textId="77777777" w:rsidR="00AB757A" w:rsidRPr="00931D60" w:rsidRDefault="00AB757A" w:rsidP="00931D60">
            <w:pPr>
              <w:spacing w:after="0" w:line="240" w:lineRule="auto"/>
              <w:jc w:val="center"/>
              <w:rPr>
                <w:rFonts w:ascii="Aptos" w:eastAsia="Times New Roman" w:hAnsi="Aptos" w:cs="Times New Roman"/>
                <w:b/>
                <w:bCs/>
                <w:color w:val="000000"/>
                <w:lang w:eastAsia="tr-TR"/>
              </w:rPr>
            </w:pPr>
            <w:r w:rsidRPr="00931D60">
              <w:rPr>
                <w:rFonts w:ascii="Aptos" w:eastAsia="Times New Roman" w:hAnsi="Aptos" w:cs="Times New Roman"/>
                <w:b/>
                <w:bCs/>
                <w:color w:val="000000"/>
                <w:lang w:eastAsia="tr-TR"/>
              </w:rPr>
              <w:t>2023 Yılı Payı</w:t>
            </w:r>
          </w:p>
        </w:tc>
        <w:tc>
          <w:tcPr>
            <w:tcW w:w="1330" w:type="dxa"/>
            <w:shd w:val="clear" w:color="000000" w:fill="FFFF00"/>
            <w:noWrap/>
            <w:vAlign w:val="center"/>
            <w:hideMark/>
          </w:tcPr>
          <w:p w14:paraId="17CB5E0D" w14:textId="3480E855" w:rsidR="00AB757A" w:rsidRPr="00931D60" w:rsidRDefault="00AB757A" w:rsidP="00931D60">
            <w:pPr>
              <w:spacing w:after="0" w:line="240" w:lineRule="auto"/>
              <w:jc w:val="center"/>
              <w:rPr>
                <w:rFonts w:ascii="Aptos" w:eastAsia="Times New Roman" w:hAnsi="Aptos" w:cs="Times New Roman"/>
                <w:b/>
                <w:bCs/>
                <w:color w:val="000000"/>
                <w:lang w:eastAsia="tr-TR"/>
              </w:rPr>
            </w:pPr>
            <w:r w:rsidRPr="00931D60">
              <w:rPr>
                <w:rFonts w:ascii="Aptos" w:eastAsia="Times New Roman" w:hAnsi="Aptos" w:cs="Times New Roman"/>
                <w:b/>
                <w:bCs/>
                <w:color w:val="000000"/>
                <w:lang w:eastAsia="tr-TR"/>
              </w:rPr>
              <w:t>202</w:t>
            </w:r>
            <w:r>
              <w:rPr>
                <w:rFonts w:ascii="Aptos" w:eastAsia="Times New Roman" w:hAnsi="Aptos" w:cs="Times New Roman"/>
                <w:b/>
                <w:bCs/>
                <w:color w:val="000000"/>
                <w:lang w:eastAsia="tr-TR"/>
              </w:rPr>
              <w:t>4 Yılı Tonajı (Ton)</w:t>
            </w:r>
          </w:p>
        </w:tc>
        <w:tc>
          <w:tcPr>
            <w:tcW w:w="1160" w:type="dxa"/>
            <w:shd w:val="clear" w:color="000000" w:fill="FFFF00"/>
            <w:vAlign w:val="center"/>
            <w:hideMark/>
          </w:tcPr>
          <w:p w14:paraId="6FE3DE1B" w14:textId="77777777" w:rsidR="00AB757A" w:rsidRPr="00931D60" w:rsidRDefault="00AB757A" w:rsidP="00931D60">
            <w:pPr>
              <w:spacing w:after="0" w:line="240" w:lineRule="auto"/>
              <w:jc w:val="center"/>
              <w:rPr>
                <w:rFonts w:ascii="Aptos" w:eastAsia="Times New Roman" w:hAnsi="Aptos" w:cs="Times New Roman"/>
                <w:b/>
                <w:bCs/>
                <w:color w:val="000000"/>
                <w:lang w:eastAsia="tr-TR"/>
              </w:rPr>
            </w:pPr>
            <w:r w:rsidRPr="00931D60">
              <w:rPr>
                <w:rFonts w:ascii="Aptos" w:eastAsia="Times New Roman" w:hAnsi="Aptos" w:cs="Times New Roman"/>
                <w:b/>
                <w:bCs/>
                <w:color w:val="000000"/>
                <w:lang w:eastAsia="tr-TR"/>
              </w:rPr>
              <w:t>2024 Yılı Payı</w:t>
            </w:r>
          </w:p>
        </w:tc>
        <w:tc>
          <w:tcPr>
            <w:tcW w:w="1270" w:type="dxa"/>
            <w:shd w:val="clear" w:color="000000" w:fill="FFFF00"/>
          </w:tcPr>
          <w:p w14:paraId="6BB678E3" w14:textId="2B58FA2D" w:rsidR="00AB757A" w:rsidRPr="00931D60" w:rsidRDefault="00B67787" w:rsidP="00931D60">
            <w:pPr>
              <w:spacing w:after="0" w:line="240" w:lineRule="auto"/>
              <w:jc w:val="center"/>
              <w:rPr>
                <w:rFonts w:ascii="Aptos" w:eastAsia="Times New Roman" w:hAnsi="Aptos" w:cs="Times New Roman"/>
                <w:b/>
                <w:bCs/>
                <w:color w:val="000000"/>
                <w:lang w:eastAsia="tr-TR"/>
              </w:rPr>
            </w:pPr>
            <w:r w:rsidRPr="00B67787">
              <w:rPr>
                <w:rFonts w:ascii="Aptos" w:eastAsia="Times New Roman" w:hAnsi="Aptos" w:cs="Times New Roman"/>
                <w:b/>
                <w:bCs/>
                <w:color w:val="000000"/>
                <w:lang w:eastAsia="tr-TR"/>
              </w:rPr>
              <w:t>Tonaj Farkı (Ton)</w:t>
            </w:r>
          </w:p>
        </w:tc>
        <w:tc>
          <w:tcPr>
            <w:tcW w:w="1270" w:type="dxa"/>
            <w:shd w:val="clear" w:color="000000" w:fill="FFFF00"/>
            <w:vAlign w:val="center"/>
            <w:hideMark/>
          </w:tcPr>
          <w:p w14:paraId="13CC934B" w14:textId="6453537B" w:rsidR="00AB757A" w:rsidRPr="00931D60" w:rsidRDefault="00AB757A" w:rsidP="00931D60">
            <w:pPr>
              <w:spacing w:after="0" w:line="240" w:lineRule="auto"/>
              <w:jc w:val="center"/>
              <w:rPr>
                <w:rFonts w:ascii="Aptos" w:eastAsia="Times New Roman" w:hAnsi="Aptos" w:cs="Times New Roman"/>
                <w:b/>
                <w:bCs/>
                <w:color w:val="000000"/>
                <w:lang w:eastAsia="tr-TR"/>
              </w:rPr>
            </w:pPr>
            <w:r w:rsidRPr="00931D60">
              <w:rPr>
                <w:rFonts w:ascii="Aptos" w:eastAsia="Times New Roman" w:hAnsi="Aptos" w:cs="Times New Roman"/>
                <w:b/>
                <w:bCs/>
                <w:color w:val="000000"/>
                <w:lang w:eastAsia="tr-TR"/>
              </w:rPr>
              <w:t>2023-2024 Değişim</w:t>
            </w:r>
          </w:p>
        </w:tc>
      </w:tr>
      <w:tr w:rsidR="00C329A9" w:rsidRPr="00931D60" w14:paraId="1E4BE434" w14:textId="77777777" w:rsidTr="008E4222">
        <w:trPr>
          <w:trHeight w:val="300"/>
          <w:jc w:val="center"/>
        </w:trPr>
        <w:tc>
          <w:tcPr>
            <w:tcW w:w="1823" w:type="dxa"/>
            <w:shd w:val="clear" w:color="000000" w:fill="DDEBF7"/>
            <w:noWrap/>
            <w:vAlign w:val="center"/>
            <w:hideMark/>
          </w:tcPr>
          <w:p w14:paraId="4372D0EE" w14:textId="77777777" w:rsidR="00C329A9" w:rsidRPr="00931D60" w:rsidRDefault="00C329A9" w:rsidP="00C329A9">
            <w:pPr>
              <w:spacing w:after="0" w:line="240" w:lineRule="auto"/>
              <w:rPr>
                <w:rFonts w:ascii="Aptos" w:eastAsia="Times New Roman" w:hAnsi="Aptos" w:cs="Times New Roman"/>
                <w:color w:val="000000"/>
                <w:lang w:eastAsia="tr-TR"/>
              </w:rPr>
            </w:pPr>
            <w:r w:rsidRPr="00931D60">
              <w:rPr>
                <w:rFonts w:ascii="Aptos" w:eastAsia="Times New Roman" w:hAnsi="Aptos" w:cs="Times New Roman"/>
                <w:color w:val="000000"/>
                <w:lang w:eastAsia="tr-TR"/>
              </w:rPr>
              <w:t>Kuru Dökme Yük</w:t>
            </w:r>
          </w:p>
        </w:tc>
        <w:tc>
          <w:tcPr>
            <w:tcW w:w="1330" w:type="dxa"/>
            <w:shd w:val="clear" w:color="000000" w:fill="DDEBF7"/>
            <w:noWrap/>
            <w:vAlign w:val="center"/>
            <w:hideMark/>
          </w:tcPr>
          <w:p w14:paraId="26C6046B"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153.714.732</w:t>
            </w:r>
          </w:p>
        </w:tc>
        <w:tc>
          <w:tcPr>
            <w:tcW w:w="1020" w:type="dxa"/>
            <w:shd w:val="clear" w:color="auto" w:fill="E8E8E8" w:themeFill="background2"/>
            <w:noWrap/>
            <w:vAlign w:val="center"/>
            <w:hideMark/>
          </w:tcPr>
          <w:p w14:paraId="15A43B11" w14:textId="6FF565B1"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29,5%</w:t>
            </w:r>
          </w:p>
        </w:tc>
        <w:tc>
          <w:tcPr>
            <w:tcW w:w="1330" w:type="dxa"/>
            <w:shd w:val="clear" w:color="000000" w:fill="DDEBF7"/>
            <w:noWrap/>
            <w:vAlign w:val="center"/>
            <w:hideMark/>
          </w:tcPr>
          <w:p w14:paraId="587AA582"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152.196.648</w:t>
            </w:r>
          </w:p>
        </w:tc>
        <w:tc>
          <w:tcPr>
            <w:tcW w:w="1160" w:type="dxa"/>
            <w:shd w:val="clear" w:color="auto" w:fill="E8E8E8" w:themeFill="background2"/>
            <w:noWrap/>
            <w:vAlign w:val="center"/>
            <w:hideMark/>
          </w:tcPr>
          <w:p w14:paraId="742C5E1D" w14:textId="55B947C3"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28,6%</w:t>
            </w:r>
          </w:p>
        </w:tc>
        <w:tc>
          <w:tcPr>
            <w:tcW w:w="1270" w:type="dxa"/>
            <w:shd w:val="clear" w:color="000000" w:fill="FFC7CE"/>
            <w:vAlign w:val="center"/>
          </w:tcPr>
          <w:p w14:paraId="65B3D81C" w14:textId="47B978BB" w:rsidR="00C329A9" w:rsidRPr="00931D60" w:rsidRDefault="00C329A9" w:rsidP="00C329A9">
            <w:pPr>
              <w:spacing w:after="0" w:line="240" w:lineRule="auto"/>
              <w:jc w:val="right"/>
              <w:rPr>
                <w:rFonts w:ascii="Aptos" w:eastAsia="Times New Roman" w:hAnsi="Aptos" w:cs="Times New Roman"/>
                <w:color w:val="9C0006"/>
                <w:lang w:eastAsia="tr-TR"/>
              </w:rPr>
            </w:pPr>
            <w:r w:rsidRPr="00B67787">
              <w:rPr>
                <w:rFonts w:ascii="Aptos" w:eastAsia="Times New Roman" w:hAnsi="Aptos" w:cs="Times New Roman"/>
                <w:color w:val="FF0000"/>
                <w:lang w:eastAsia="tr-TR"/>
              </w:rPr>
              <w:t>-1.518.084</w:t>
            </w:r>
          </w:p>
        </w:tc>
        <w:tc>
          <w:tcPr>
            <w:tcW w:w="1270" w:type="dxa"/>
            <w:shd w:val="clear" w:color="000000" w:fill="FFC7CE"/>
            <w:noWrap/>
            <w:vAlign w:val="center"/>
            <w:hideMark/>
          </w:tcPr>
          <w:p w14:paraId="65238255" w14:textId="4796226F" w:rsidR="00C329A9" w:rsidRPr="00931D60" w:rsidRDefault="00C329A9" w:rsidP="00C329A9">
            <w:pPr>
              <w:spacing w:after="0" w:line="240" w:lineRule="auto"/>
              <w:jc w:val="right"/>
              <w:rPr>
                <w:rFonts w:ascii="Aptos" w:eastAsia="Times New Roman" w:hAnsi="Aptos" w:cs="Times New Roman"/>
                <w:color w:val="9C0006"/>
                <w:lang w:eastAsia="tr-TR"/>
              </w:rPr>
            </w:pPr>
            <w:r w:rsidRPr="00931D60">
              <w:rPr>
                <w:rFonts w:ascii="Aptos" w:eastAsia="Times New Roman" w:hAnsi="Aptos" w:cs="Times New Roman"/>
                <w:color w:val="FF0000"/>
                <w:lang w:eastAsia="tr-TR"/>
              </w:rPr>
              <w:t>-1,00%</w:t>
            </w:r>
          </w:p>
        </w:tc>
      </w:tr>
      <w:tr w:rsidR="00C329A9" w:rsidRPr="00931D60" w14:paraId="4B7CB482" w14:textId="77777777" w:rsidTr="008E4222">
        <w:trPr>
          <w:trHeight w:val="300"/>
          <w:jc w:val="center"/>
        </w:trPr>
        <w:tc>
          <w:tcPr>
            <w:tcW w:w="1823" w:type="dxa"/>
            <w:shd w:val="clear" w:color="000000" w:fill="DDEBF7"/>
            <w:noWrap/>
            <w:vAlign w:val="center"/>
            <w:hideMark/>
          </w:tcPr>
          <w:p w14:paraId="607E52E4" w14:textId="77777777" w:rsidR="00C329A9" w:rsidRPr="00931D60" w:rsidRDefault="00C329A9" w:rsidP="00C329A9">
            <w:pPr>
              <w:spacing w:after="0" w:line="240" w:lineRule="auto"/>
              <w:rPr>
                <w:rFonts w:ascii="Aptos" w:eastAsia="Times New Roman" w:hAnsi="Aptos" w:cs="Times New Roman"/>
                <w:color w:val="000000"/>
                <w:lang w:eastAsia="tr-TR"/>
              </w:rPr>
            </w:pPr>
            <w:r w:rsidRPr="00931D60">
              <w:rPr>
                <w:rFonts w:ascii="Aptos" w:eastAsia="Times New Roman" w:hAnsi="Aptos" w:cs="Times New Roman"/>
                <w:color w:val="000000"/>
                <w:lang w:eastAsia="tr-TR"/>
              </w:rPr>
              <w:t>Genel Kargo</w:t>
            </w:r>
          </w:p>
        </w:tc>
        <w:tc>
          <w:tcPr>
            <w:tcW w:w="1330" w:type="dxa"/>
            <w:shd w:val="clear" w:color="000000" w:fill="DDEBF7"/>
            <w:noWrap/>
            <w:vAlign w:val="center"/>
            <w:hideMark/>
          </w:tcPr>
          <w:p w14:paraId="693ED0EA"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54.864.485</w:t>
            </w:r>
          </w:p>
        </w:tc>
        <w:tc>
          <w:tcPr>
            <w:tcW w:w="1020" w:type="dxa"/>
            <w:shd w:val="clear" w:color="auto" w:fill="E8E8E8" w:themeFill="background2"/>
            <w:noWrap/>
            <w:vAlign w:val="center"/>
            <w:hideMark/>
          </w:tcPr>
          <w:p w14:paraId="29E183EA" w14:textId="43CB4B20"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10,5%</w:t>
            </w:r>
          </w:p>
        </w:tc>
        <w:tc>
          <w:tcPr>
            <w:tcW w:w="1330" w:type="dxa"/>
            <w:shd w:val="clear" w:color="000000" w:fill="DDEBF7"/>
            <w:noWrap/>
            <w:vAlign w:val="center"/>
            <w:hideMark/>
          </w:tcPr>
          <w:p w14:paraId="4B8E78DB"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62.100.115</w:t>
            </w:r>
          </w:p>
        </w:tc>
        <w:tc>
          <w:tcPr>
            <w:tcW w:w="1160" w:type="dxa"/>
            <w:shd w:val="clear" w:color="auto" w:fill="E8E8E8" w:themeFill="background2"/>
            <w:noWrap/>
            <w:vAlign w:val="center"/>
            <w:hideMark/>
          </w:tcPr>
          <w:p w14:paraId="33BF4306" w14:textId="4C2409AC"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11,7%</w:t>
            </w:r>
          </w:p>
        </w:tc>
        <w:tc>
          <w:tcPr>
            <w:tcW w:w="1270" w:type="dxa"/>
            <w:shd w:val="clear" w:color="000000" w:fill="C6EFCE"/>
            <w:vAlign w:val="center"/>
          </w:tcPr>
          <w:p w14:paraId="79E6EC94" w14:textId="3F5B472F" w:rsidR="00C329A9" w:rsidRPr="00931D60" w:rsidRDefault="00C329A9" w:rsidP="00C329A9">
            <w:pPr>
              <w:spacing w:after="0" w:line="240" w:lineRule="auto"/>
              <w:jc w:val="right"/>
              <w:rPr>
                <w:rFonts w:ascii="Aptos" w:eastAsia="Times New Roman" w:hAnsi="Aptos" w:cs="Times New Roman"/>
                <w:color w:val="006100"/>
                <w:lang w:eastAsia="tr-TR"/>
              </w:rPr>
            </w:pPr>
            <w:r w:rsidRPr="00B67787">
              <w:rPr>
                <w:rFonts w:ascii="Aptos" w:eastAsia="Times New Roman" w:hAnsi="Aptos" w:cs="Times New Roman"/>
                <w:color w:val="000000"/>
                <w:lang w:eastAsia="tr-TR"/>
              </w:rPr>
              <w:t>7.235.630</w:t>
            </w:r>
          </w:p>
        </w:tc>
        <w:tc>
          <w:tcPr>
            <w:tcW w:w="1270" w:type="dxa"/>
            <w:shd w:val="clear" w:color="000000" w:fill="C6EFCE"/>
            <w:noWrap/>
            <w:vAlign w:val="center"/>
            <w:hideMark/>
          </w:tcPr>
          <w:p w14:paraId="4B7B125F" w14:textId="245F5FB2" w:rsidR="00C329A9" w:rsidRPr="00931D60" w:rsidRDefault="00C329A9" w:rsidP="00C329A9">
            <w:pPr>
              <w:spacing w:after="0" w:line="240" w:lineRule="auto"/>
              <w:jc w:val="right"/>
              <w:rPr>
                <w:rFonts w:ascii="Aptos" w:eastAsia="Times New Roman" w:hAnsi="Aptos" w:cs="Times New Roman"/>
                <w:color w:val="006100"/>
                <w:lang w:eastAsia="tr-TR"/>
              </w:rPr>
            </w:pPr>
            <w:r w:rsidRPr="00931D60">
              <w:rPr>
                <w:rFonts w:ascii="Aptos" w:eastAsia="Times New Roman" w:hAnsi="Aptos" w:cs="Times New Roman"/>
                <w:color w:val="006100"/>
                <w:lang w:eastAsia="tr-TR"/>
              </w:rPr>
              <w:t>13,20%</w:t>
            </w:r>
          </w:p>
        </w:tc>
      </w:tr>
      <w:tr w:rsidR="00C329A9" w:rsidRPr="00931D60" w14:paraId="771DCF1A" w14:textId="77777777" w:rsidTr="008E4222">
        <w:trPr>
          <w:trHeight w:val="300"/>
          <w:jc w:val="center"/>
        </w:trPr>
        <w:tc>
          <w:tcPr>
            <w:tcW w:w="1823" w:type="dxa"/>
            <w:shd w:val="clear" w:color="000000" w:fill="DDEBF7"/>
            <w:noWrap/>
            <w:vAlign w:val="center"/>
            <w:hideMark/>
          </w:tcPr>
          <w:p w14:paraId="0A25AB95" w14:textId="77777777" w:rsidR="00C329A9" w:rsidRPr="00931D60" w:rsidRDefault="00C329A9" w:rsidP="00C329A9">
            <w:pPr>
              <w:spacing w:after="0" w:line="240" w:lineRule="auto"/>
              <w:rPr>
                <w:rFonts w:ascii="Aptos" w:eastAsia="Times New Roman" w:hAnsi="Aptos" w:cs="Times New Roman"/>
                <w:color w:val="000000"/>
                <w:lang w:eastAsia="tr-TR"/>
              </w:rPr>
            </w:pPr>
            <w:r w:rsidRPr="00931D60">
              <w:rPr>
                <w:rFonts w:ascii="Aptos" w:eastAsia="Times New Roman" w:hAnsi="Aptos" w:cs="Times New Roman"/>
                <w:color w:val="000000"/>
                <w:lang w:eastAsia="tr-TR"/>
              </w:rPr>
              <w:t>Sıvı Dökme Yük</w:t>
            </w:r>
          </w:p>
        </w:tc>
        <w:tc>
          <w:tcPr>
            <w:tcW w:w="1330" w:type="dxa"/>
            <w:shd w:val="clear" w:color="000000" w:fill="DDEBF7"/>
            <w:noWrap/>
            <w:vAlign w:val="center"/>
            <w:hideMark/>
          </w:tcPr>
          <w:p w14:paraId="62342A20"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167.788.070</w:t>
            </w:r>
          </w:p>
        </w:tc>
        <w:tc>
          <w:tcPr>
            <w:tcW w:w="1020" w:type="dxa"/>
            <w:shd w:val="clear" w:color="auto" w:fill="E8E8E8" w:themeFill="background2"/>
            <w:noWrap/>
            <w:vAlign w:val="center"/>
            <w:hideMark/>
          </w:tcPr>
          <w:p w14:paraId="0640F3E8" w14:textId="561F0E19"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32,2%</w:t>
            </w:r>
          </w:p>
        </w:tc>
        <w:tc>
          <w:tcPr>
            <w:tcW w:w="1330" w:type="dxa"/>
            <w:shd w:val="clear" w:color="000000" w:fill="DDEBF7"/>
            <w:noWrap/>
            <w:vAlign w:val="center"/>
            <w:hideMark/>
          </w:tcPr>
          <w:p w14:paraId="04D9BC70"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162.214.988</w:t>
            </w:r>
          </w:p>
        </w:tc>
        <w:tc>
          <w:tcPr>
            <w:tcW w:w="1160" w:type="dxa"/>
            <w:shd w:val="clear" w:color="auto" w:fill="E8E8E8" w:themeFill="background2"/>
            <w:noWrap/>
            <w:vAlign w:val="center"/>
            <w:hideMark/>
          </w:tcPr>
          <w:p w14:paraId="301ECE29" w14:textId="4D4D38C6"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30,5%</w:t>
            </w:r>
          </w:p>
        </w:tc>
        <w:tc>
          <w:tcPr>
            <w:tcW w:w="1270" w:type="dxa"/>
            <w:shd w:val="clear" w:color="000000" w:fill="FFC7CE"/>
          </w:tcPr>
          <w:p w14:paraId="24E13BBC" w14:textId="4AAA9DE4" w:rsidR="00C329A9" w:rsidRPr="00931D60" w:rsidRDefault="00C329A9" w:rsidP="00C329A9">
            <w:pPr>
              <w:spacing w:after="0" w:line="240" w:lineRule="auto"/>
              <w:jc w:val="right"/>
              <w:rPr>
                <w:rFonts w:ascii="Aptos" w:eastAsia="Times New Roman" w:hAnsi="Aptos" w:cs="Times New Roman"/>
                <w:color w:val="9C0006"/>
                <w:lang w:eastAsia="tr-TR"/>
              </w:rPr>
            </w:pPr>
            <w:r w:rsidRPr="00B67787">
              <w:rPr>
                <w:rFonts w:ascii="Aptos" w:eastAsia="Times New Roman" w:hAnsi="Aptos" w:cs="Times New Roman"/>
                <w:color w:val="FF0000"/>
                <w:lang w:eastAsia="tr-TR"/>
              </w:rPr>
              <w:t>-5.573.082</w:t>
            </w:r>
          </w:p>
        </w:tc>
        <w:tc>
          <w:tcPr>
            <w:tcW w:w="1270" w:type="dxa"/>
            <w:shd w:val="clear" w:color="000000" w:fill="FFC7CE"/>
            <w:noWrap/>
            <w:vAlign w:val="center"/>
            <w:hideMark/>
          </w:tcPr>
          <w:p w14:paraId="28D7BA96" w14:textId="1F5F44DB" w:rsidR="00C329A9" w:rsidRPr="00931D60" w:rsidRDefault="00C329A9" w:rsidP="00C329A9">
            <w:pPr>
              <w:spacing w:after="0" w:line="240" w:lineRule="auto"/>
              <w:jc w:val="right"/>
              <w:rPr>
                <w:rFonts w:ascii="Aptos" w:eastAsia="Times New Roman" w:hAnsi="Aptos" w:cs="Times New Roman"/>
                <w:color w:val="9C0006"/>
                <w:lang w:eastAsia="tr-TR"/>
              </w:rPr>
            </w:pPr>
            <w:r w:rsidRPr="00931D60">
              <w:rPr>
                <w:rFonts w:ascii="Aptos" w:eastAsia="Times New Roman" w:hAnsi="Aptos" w:cs="Times New Roman"/>
                <w:color w:val="FF0000"/>
                <w:lang w:eastAsia="tr-TR"/>
              </w:rPr>
              <w:t>-3,30%</w:t>
            </w:r>
          </w:p>
        </w:tc>
      </w:tr>
      <w:tr w:rsidR="00C329A9" w:rsidRPr="00931D60" w14:paraId="3BFCE738" w14:textId="77777777" w:rsidTr="008E4222">
        <w:trPr>
          <w:trHeight w:val="300"/>
          <w:jc w:val="center"/>
        </w:trPr>
        <w:tc>
          <w:tcPr>
            <w:tcW w:w="1823" w:type="dxa"/>
            <w:shd w:val="clear" w:color="000000" w:fill="DDEBF7"/>
            <w:noWrap/>
            <w:vAlign w:val="center"/>
            <w:hideMark/>
          </w:tcPr>
          <w:p w14:paraId="4D9F04A4" w14:textId="77777777" w:rsidR="00C329A9" w:rsidRPr="00931D60" w:rsidRDefault="00C329A9" w:rsidP="00C329A9">
            <w:pPr>
              <w:spacing w:after="0" w:line="240" w:lineRule="auto"/>
              <w:rPr>
                <w:rFonts w:ascii="Aptos" w:eastAsia="Times New Roman" w:hAnsi="Aptos" w:cs="Times New Roman"/>
                <w:color w:val="000000"/>
                <w:lang w:eastAsia="tr-TR"/>
              </w:rPr>
            </w:pPr>
            <w:r w:rsidRPr="00931D60">
              <w:rPr>
                <w:rFonts w:ascii="Aptos" w:eastAsia="Times New Roman" w:hAnsi="Aptos" w:cs="Times New Roman"/>
                <w:color w:val="000000"/>
                <w:lang w:eastAsia="tr-TR"/>
              </w:rPr>
              <w:t>Konteyner</w:t>
            </w:r>
          </w:p>
        </w:tc>
        <w:tc>
          <w:tcPr>
            <w:tcW w:w="1330" w:type="dxa"/>
            <w:shd w:val="clear" w:color="000000" w:fill="DDEBF7"/>
            <w:noWrap/>
            <w:vAlign w:val="center"/>
            <w:hideMark/>
          </w:tcPr>
          <w:p w14:paraId="6881EC81"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133.467.400</w:t>
            </w:r>
          </w:p>
        </w:tc>
        <w:tc>
          <w:tcPr>
            <w:tcW w:w="1020" w:type="dxa"/>
            <w:shd w:val="clear" w:color="auto" w:fill="E8E8E8" w:themeFill="background2"/>
            <w:noWrap/>
            <w:vAlign w:val="center"/>
            <w:hideMark/>
          </w:tcPr>
          <w:p w14:paraId="5B5B0467" w14:textId="6687ADFF"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25,6%</w:t>
            </w:r>
          </w:p>
        </w:tc>
        <w:tc>
          <w:tcPr>
            <w:tcW w:w="1330" w:type="dxa"/>
            <w:shd w:val="clear" w:color="000000" w:fill="DDEBF7"/>
            <w:noWrap/>
            <w:vAlign w:val="center"/>
            <w:hideMark/>
          </w:tcPr>
          <w:p w14:paraId="4DC4C0B4"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143.357.666</w:t>
            </w:r>
          </w:p>
        </w:tc>
        <w:tc>
          <w:tcPr>
            <w:tcW w:w="1160" w:type="dxa"/>
            <w:shd w:val="clear" w:color="auto" w:fill="E8E8E8" w:themeFill="background2"/>
            <w:noWrap/>
            <w:vAlign w:val="center"/>
            <w:hideMark/>
          </w:tcPr>
          <w:p w14:paraId="102198B4" w14:textId="44EC24E5"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27,0%</w:t>
            </w:r>
          </w:p>
        </w:tc>
        <w:tc>
          <w:tcPr>
            <w:tcW w:w="1270" w:type="dxa"/>
            <w:shd w:val="clear" w:color="000000" w:fill="C6EFCE"/>
          </w:tcPr>
          <w:p w14:paraId="4667A733" w14:textId="47EA2B0E" w:rsidR="00C329A9" w:rsidRPr="00931D60" w:rsidRDefault="00C329A9" w:rsidP="00C329A9">
            <w:pPr>
              <w:spacing w:after="0" w:line="240" w:lineRule="auto"/>
              <w:jc w:val="right"/>
              <w:rPr>
                <w:rFonts w:ascii="Aptos" w:eastAsia="Times New Roman" w:hAnsi="Aptos" w:cs="Times New Roman"/>
                <w:color w:val="006100"/>
                <w:lang w:eastAsia="tr-TR"/>
              </w:rPr>
            </w:pPr>
            <w:r w:rsidRPr="00B67787">
              <w:rPr>
                <w:rFonts w:ascii="Aptos" w:eastAsia="Times New Roman" w:hAnsi="Aptos" w:cs="Times New Roman"/>
                <w:color w:val="000000"/>
                <w:lang w:eastAsia="tr-TR"/>
              </w:rPr>
              <w:t>9.890.266</w:t>
            </w:r>
          </w:p>
        </w:tc>
        <w:tc>
          <w:tcPr>
            <w:tcW w:w="1270" w:type="dxa"/>
            <w:shd w:val="clear" w:color="000000" w:fill="C6EFCE"/>
            <w:noWrap/>
            <w:vAlign w:val="center"/>
            <w:hideMark/>
          </w:tcPr>
          <w:p w14:paraId="73EBE6A9" w14:textId="6848A826" w:rsidR="00C329A9" w:rsidRPr="00931D60" w:rsidRDefault="00C329A9" w:rsidP="00C329A9">
            <w:pPr>
              <w:spacing w:after="0" w:line="240" w:lineRule="auto"/>
              <w:jc w:val="right"/>
              <w:rPr>
                <w:rFonts w:ascii="Aptos" w:eastAsia="Times New Roman" w:hAnsi="Aptos" w:cs="Times New Roman"/>
                <w:color w:val="006100"/>
                <w:lang w:eastAsia="tr-TR"/>
              </w:rPr>
            </w:pPr>
            <w:r w:rsidRPr="00931D60">
              <w:rPr>
                <w:rFonts w:ascii="Aptos" w:eastAsia="Times New Roman" w:hAnsi="Aptos" w:cs="Times New Roman"/>
                <w:color w:val="006100"/>
                <w:lang w:eastAsia="tr-TR"/>
              </w:rPr>
              <w:t>7,40%</w:t>
            </w:r>
          </w:p>
        </w:tc>
      </w:tr>
      <w:tr w:rsidR="00C329A9" w:rsidRPr="00931D60" w14:paraId="1DCFBE3D" w14:textId="77777777" w:rsidTr="008E4222">
        <w:trPr>
          <w:trHeight w:val="300"/>
          <w:jc w:val="center"/>
        </w:trPr>
        <w:tc>
          <w:tcPr>
            <w:tcW w:w="1823" w:type="dxa"/>
            <w:shd w:val="clear" w:color="000000" w:fill="DDEBF7"/>
            <w:noWrap/>
            <w:vAlign w:val="center"/>
            <w:hideMark/>
          </w:tcPr>
          <w:p w14:paraId="703F12B4" w14:textId="77777777" w:rsidR="00C329A9" w:rsidRPr="00931D60" w:rsidRDefault="00C329A9" w:rsidP="00C329A9">
            <w:pPr>
              <w:spacing w:after="0" w:line="240" w:lineRule="auto"/>
              <w:rPr>
                <w:rFonts w:ascii="Aptos" w:eastAsia="Times New Roman" w:hAnsi="Aptos" w:cs="Times New Roman"/>
                <w:color w:val="000000"/>
                <w:lang w:eastAsia="tr-TR"/>
              </w:rPr>
            </w:pPr>
            <w:r w:rsidRPr="00931D60">
              <w:rPr>
                <w:rFonts w:ascii="Aptos" w:eastAsia="Times New Roman" w:hAnsi="Aptos" w:cs="Times New Roman"/>
                <w:color w:val="000000"/>
                <w:lang w:eastAsia="tr-TR"/>
              </w:rPr>
              <w:t>Araç</w:t>
            </w:r>
          </w:p>
        </w:tc>
        <w:tc>
          <w:tcPr>
            <w:tcW w:w="1330" w:type="dxa"/>
            <w:shd w:val="clear" w:color="000000" w:fill="DDEBF7"/>
            <w:noWrap/>
            <w:vAlign w:val="center"/>
            <w:hideMark/>
          </w:tcPr>
          <w:p w14:paraId="3EBD688B"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11.245.117</w:t>
            </w:r>
          </w:p>
        </w:tc>
        <w:tc>
          <w:tcPr>
            <w:tcW w:w="1020" w:type="dxa"/>
            <w:shd w:val="clear" w:color="auto" w:fill="E8E8E8" w:themeFill="background2"/>
            <w:noWrap/>
            <w:vAlign w:val="center"/>
            <w:hideMark/>
          </w:tcPr>
          <w:p w14:paraId="03607EBB" w14:textId="526DC660"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2,2%</w:t>
            </w:r>
          </w:p>
        </w:tc>
        <w:tc>
          <w:tcPr>
            <w:tcW w:w="1330" w:type="dxa"/>
            <w:shd w:val="clear" w:color="000000" w:fill="DDEBF7"/>
            <w:noWrap/>
            <w:vAlign w:val="center"/>
            <w:hideMark/>
          </w:tcPr>
          <w:p w14:paraId="27EA846E" w14:textId="77777777" w:rsidR="00C329A9" w:rsidRPr="00931D60" w:rsidRDefault="00C329A9" w:rsidP="00C329A9">
            <w:pPr>
              <w:spacing w:after="0" w:line="240" w:lineRule="auto"/>
              <w:jc w:val="right"/>
              <w:rPr>
                <w:rFonts w:ascii="Aptos" w:eastAsia="Times New Roman" w:hAnsi="Aptos" w:cs="Times New Roman"/>
                <w:color w:val="000000"/>
                <w:lang w:eastAsia="tr-TR"/>
              </w:rPr>
            </w:pPr>
            <w:r w:rsidRPr="00931D60">
              <w:rPr>
                <w:rFonts w:ascii="Aptos" w:eastAsia="Times New Roman" w:hAnsi="Aptos" w:cs="Times New Roman"/>
                <w:color w:val="000000"/>
                <w:lang w:eastAsia="tr-TR"/>
              </w:rPr>
              <w:t>11.867.941</w:t>
            </w:r>
          </w:p>
        </w:tc>
        <w:tc>
          <w:tcPr>
            <w:tcW w:w="1160" w:type="dxa"/>
            <w:shd w:val="clear" w:color="auto" w:fill="E8E8E8" w:themeFill="background2"/>
            <w:noWrap/>
            <w:vAlign w:val="center"/>
            <w:hideMark/>
          </w:tcPr>
          <w:p w14:paraId="6AE74826" w14:textId="4ABA3126" w:rsidR="00C329A9" w:rsidRPr="00931D60" w:rsidRDefault="00C329A9" w:rsidP="00C329A9">
            <w:pPr>
              <w:spacing w:after="0" w:line="240" w:lineRule="auto"/>
              <w:jc w:val="right"/>
              <w:rPr>
                <w:rFonts w:ascii="Aptos" w:eastAsia="Times New Roman" w:hAnsi="Aptos" w:cs="Times New Roman"/>
                <w:color w:val="000000"/>
                <w:lang w:eastAsia="tr-TR"/>
              </w:rPr>
            </w:pPr>
            <w:r>
              <w:rPr>
                <w:rFonts w:ascii="Aptos" w:hAnsi="Aptos"/>
                <w:color w:val="000000"/>
              </w:rPr>
              <w:t>2,2%</w:t>
            </w:r>
          </w:p>
        </w:tc>
        <w:tc>
          <w:tcPr>
            <w:tcW w:w="1270" w:type="dxa"/>
            <w:shd w:val="clear" w:color="000000" w:fill="C6EFCE"/>
          </w:tcPr>
          <w:p w14:paraId="4866CEB6" w14:textId="415871F5" w:rsidR="00C329A9" w:rsidRPr="00931D60" w:rsidRDefault="00C329A9" w:rsidP="00C329A9">
            <w:pPr>
              <w:spacing w:after="0" w:line="240" w:lineRule="auto"/>
              <w:jc w:val="right"/>
              <w:rPr>
                <w:rFonts w:ascii="Aptos" w:eastAsia="Times New Roman" w:hAnsi="Aptos" w:cs="Times New Roman"/>
                <w:color w:val="006100"/>
                <w:lang w:eastAsia="tr-TR"/>
              </w:rPr>
            </w:pPr>
            <w:r w:rsidRPr="00B67787">
              <w:rPr>
                <w:rFonts w:ascii="Aptos" w:eastAsia="Times New Roman" w:hAnsi="Aptos" w:cs="Times New Roman"/>
                <w:color w:val="000000"/>
                <w:lang w:eastAsia="tr-TR"/>
              </w:rPr>
              <w:t>622.824</w:t>
            </w:r>
          </w:p>
        </w:tc>
        <w:tc>
          <w:tcPr>
            <w:tcW w:w="1270" w:type="dxa"/>
            <w:shd w:val="clear" w:color="000000" w:fill="C6EFCE"/>
            <w:noWrap/>
            <w:vAlign w:val="center"/>
            <w:hideMark/>
          </w:tcPr>
          <w:p w14:paraId="45C7D1FD" w14:textId="6B58CABE" w:rsidR="00C329A9" w:rsidRPr="00931D60" w:rsidRDefault="00C329A9" w:rsidP="00C329A9">
            <w:pPr>
              <w:spacing w:after="0" w:line="240" w:lineRule="auto"/>
              <w:jc w:val="right"/>
              <w:rPr>
                <w:rFonts w:ascii="Aptos" w:eastAsia="Times New Roman" w:hAnsi="Aptos" w:cs="Times New Roman"/>
                <w:color w:val="006100"/>
                <w:lang w:eastAsia="tr-TR"/>
              </w:rPr>
            </w:pPr>
            <w:r w:rsidRPr="00931D60">
              <w:rPr>
                <w:rFonts w:ascii="Aptos" w:eastAsia="Times New Roman" w:hAnsi="Aptos" w:cs="Times New Roman"/>
                <w:color w:val="006100"/>
                <w:lang w:eastAsia="tr-TR"/>
              </w:rPr>
              <w:t>5,50%</w:t>
            </w:r>
          </w:p>
        </w:tc>
      </w:tr>
      <w:tr w:rsidR="00B67787" w:rsidRPr="00EE754E" w14:paraId="4A8A8350" w14:textId="77777777" w:rsidTr="00EE754E">
        <w:trPr>
          <w:trHeight w:val="300"/>
          <w:jc w:val="center"/>
        </w:trPr>
        <w:tc>
          <w:tcPr>
            <w:tcW w:w="1823" w:type="dxa"/>
            <w:shd w:val="clear" w:color="auto" w:fill="FAE2D5" w:themeFill="accent2" w:themeFillTint="33"/>
            <w:noWrap/>
            <w:vAlign w:val="center"/>
            <w:hideMark/>
          </w:tcPr>
          <w:p w14:paraId="45C1F025" w14:textId="77777777" w:rsidR="00B67787" w:rsidRPr="00EE754E" w:rsidRDefault="00B67787" w:rsidP="00B67787">
            <w:pPr>
              <w:spacing w:after="0" w:line="240" w:lineRule="auto"/>
              <w:rPr>
                <w:rFonts w:ascii="Aptos" w:eastAsia="Times New Roman" w:hAnsi="Aptos" w:cs="Times New Roman"/>
                <w:b/>
                <w:bCs/>
                <w:color w:val="000000"/>
                <w:lang w:eastAsia="tr-TR"/>
              </w:rPr>
            </w:pPr>
            <w:r w:rsidRPr="00EE754E">
              <w:rPr>
                <w:rFonts w:ascii="Aptos" w:eastAsia="Times New Roman" w:hAnsi="Aptos" w:cs="Times New Roman"/>
                <w:b/>
                <w:bCs/>
                <w:color w:val="000000"/>
                <w:lang w:eastAsia="tr-TR"/>
              </w:rPr>
              <w:t>Toplam</w:t>
            </w:r>
          </w:p>
        </w:tc>
        <w:tc>
          <w:tcPr>
            <w:tcW w:w="1330" w:type="dxa"/>
            <w:shd w:val="clear" w:color="auto" w:fill="FAE2D5" w:themeFill="accent2" w:themeFillTint="33"/>
            <w:noWrap/>
            <w:vAlign w:val="center"/>
            <w:hideMark/>
          </w:tcPr>
          <w:p w14:paraId="3C2687F2" w14:textId="77777777" w:rsidR="00B67787" w:rsidRPr="00EE754E" w:rsidRDefault="00B67787" w:rsidP="00B67787">
            <w:pPr>
              <w:spacing w:after="0" w:line="240" w:lineRule="auto"/>
              <w:jc w:val="right"/>
              <w:rPr>
                <w:rFonts w:ascii="Aptos" w:eastAsia="Times New Roman" w:hAnsi="Aptos" w:cs="Times New Roman"/>
                <w:b/>
                <w:bCs/>
                <w:color w:val="000000"/>
                <w:lang w:eastAsia="tr-TR"/>
              </w:rPr>
            </w:pPr>
            <w:r w:rsidRPr="00EE754E">
              <w:rPr>
                <w:rFonts w:ascii="Aptos" w:eastAsia="Times New Roman" w:hAnsi="Aptos" w:cs="Times New Roman"/>
                <w:b/>
                <w:bCs/>
                <w:color w:val="000000"/>
                <w:lang w:eastAsia="tr-TR"/>
              </w:rPr>
              <w:t>521.079.804</w:t>
            </w:r>
          </w:p>
        </w:tc>
        <w:tc>
          <w:tcPr>
            <w:tcW w:w="1020" w:type="dxa"/>
            <w:shd w:val="clear" w:color="auto" w:fill="FAE2D5" w:themeFill="accent2" w:themeFillTint="33"/>
            <w:noWrap/>
            <w:vAlign w:val="center"/>
            <w:hideMark/>
          </w:tcPr>
          <w:p w14:paraId="2D3A13D9" w14:textId="4B57A8E0" w:rsidR="00B67787" w:rsidRPr="00EE754E" w:rsidRDefault="008C3621" w:rsidP="008C3621">
            <w:pPr>
              <w:spacing w:after="0" w:line="240" w:lineRule="auto"/>
              <w:jc w:val="right"/>
              <w:rPr>
                <w:rFonts w:ascii="Aptos" w:eastAsia="Times New Roman" w:hAnsi="Aptos" w:cs="Times New Roman"/>
                <w:b/>
                <w:bCs/>
                <w:color w:val="000000"/>
                <w:lang w:eastAsia="tr-TR"/>
              </w:rPr>
            </w:pPr>
            <w:r w:rsidRPr="00EE754E">
              <w:rPr>
                <w:rFonts w:ascii="Aptos" w:eastAsia="Times New Roman" w:hAnsi="Aptos" w:cs="Times New Roman"/>
                <w:b/>
                <w:bCs/>
                <w:color w:val="000000"/>
                <w:lang w:eastAsia="tr-TR"/>
              </w:rPr>
              <w:t>100%</w:t>
            </w:r>
          </w:p>
        </w:tc>
        <w:tc>
          <w:tcPr>
            <w:tcW w:w="1330" w:type="dxa"/>
            <w:shd w:val="clear" w:color="auto" w:fill="FAE2D5" w:themeFill="accent2" w:themeFillTint="33"/>
            <w:noWrap/>
            <w:vAlign w:val="center"/>
            <w:hideMark/>
          </w:tcPr>
          <w:p w14:paraId="281849DE" w14:textId="77777777" w:rsidR="00B67787" w:rsidRPr="00EE754E" w:rsidRDefault="00B67787" w:rsidP="00B67787">
            <w:pPr>
              <w:spacing w:after="0" w:line="240" w:lineRule="auto"/>
              <w:jc w:val="right"/>
              <w:rPr>
                <w:rFonts w:ascii="Aptos" w:eastAsia="Times New Roman" w:hAnsi="Aptos" w:cs="Times New Roman"/>
                <w:b/>
                <w:bCs/>
                <w:color w:val="000000"/>
                <w:lang w:eastAsia="tr-TR"/>
              </w:rPr>
            </w:pPr>
            <w:r w:rsidRPr="00EE754E">
              <w:rPr>
                <w:rFonts w:ascii="Aptos" w:eastAsia="Times New Roman" w:hAnsi="Aptos" w:cs="Times New Roman"/>
                <w:b/>
                <w:bCs/>
                <w:color w:val="000000"/>
                <w:lang w:eastAsia="tr-TR"/>
              </w:rPr>
              <w:t>531.737.358</w:t>
            </w:r>
          </w:p>
        </w:tc>
        <w:tc>
          <w:tcPr>
            <w:tcW w:w="1160" w:type="dxa"/>
            <w:shd w:val="clear" w:color="auto" w:fill="FAE2D5" w:themeFill="accent2" w:themeFillTint="33"/>
            <w:noWrap/>
            <w:vAlign w:val="center"/>
            <w:hideMark/>
          </w:tcPr>
          <w:p w14:paraId="46D6A1EA" w14:textId="72A44D14" w:rsidR="00B67787" w:rsidRPr="00EE754E" w:rsidRDefault="008C3621" w:rsidP="008C3621">
            <w:pPr>
              <w:spacing w:after="0" w:line="240" w:lineRule="auto"/>
              <w:jc w:val="right"/>
              <w:rPr>
                <w:rFonts w:ascii="Aptos" w:eastAsia="Times New Roman" w:hAnsi="Aptos" w:cs="Times New Roman"/>
                <w:b/>
                <w:bCs/>
                <w:color w:val="000000"/>
                <w:lang w:eastAsia="tr-TR"/>
              </w:rPr>
            </w:pPr>
            <w:r w:rsidRPr="00EE754E">
              <w:rPr>
                <w:rFonts w:ascii="Aptos" w:eastAsia="Times New Roman" w:hAnsi="Aptos" w:cs="Times New Roman"/>
                <w:b/>
                <w:bCs/>
                <w:color w:val="000000"/>
                <w:lang w:eastAsia="tr-TR"/>
              </w:rPr>
              <w:t>100%</w:t>
            </w:r>
            <w:r w:rsidR="00B67787" w:rsidRPr="00EE754E">
              <w:rPr>
                <w:rFonts w:ascii="Aptos" w:eastAsia="Times New Roman" w:hAnsi="Aptos" w:cs="Times New Roman"/>
                <w:b/>
                <w:bCs/>
                <w:color w:val="000000"/>
                <w:lang w:eastAsia="tr-TR"/>
              </w:rPr>
              <w:t> </w:t>
            </w:r>
          </w:p>
        </w:tc>
        <w:tc>
          <w:tcPr>
            <w:tcW w:w="1270" w:type="dxa"/>
            <w:shd w:val="clear" w:color="auto" w:fill="FAE2D5" w:themeFill="accent2" w:themeFillTint="33"/>
          </w:tcPr>
          <w:p w14:paraId="3FD5206D" w14:textId="1209A005" w:rsidR="00B67787" w:rsidRPr="00EE754E" w:rsidRDefault="00B67787" w:rsidP="00B67787">
            <w:pPr>
              <w:spacing w:after="0" w:line="240" w:lineRule="auto"/>
              <w:jc w:val="right"/>
              <w:rPr>
                <w:rFonts w:ascii="Aptos" w:eastAsia="Times New Roman" w:hAnsi="Aptos" w:cs="Times New Roman"/>
                <w:b/>
                <w:bCs/>
                <w:color w:val="006100"/>
                <w:lang w:eastAsia="tr-TR"/>
              </w:rPr>
            </w:pPr>
            <w:r w:rsidRPr="00EE754E">
              <w:rPr>
                <w:rFonts w:ascii="Aptos" w:eastAsia="Times New Roman" w:hAnsi="Aptos" w:cs="Times New Roman"/>
                <w:b/>
                <w:bCs/>
                <w:color w:val="000000"/>
                <w:lang w:eastAsia="tr-TR"/>
              </w:rPr>
              <w:t>10.657.554</w:t>
            </w:r>
          </w:p>
        </w:tc>
        <w:tc>
          <w:tcPr>
            <w:tcW w:w="1270" w:type="dxa"/>
            <w:shd w:val="clear" w:color="auto" w:fill="FAE2D5" w:themeFill="accent2" w:themeFillTint="33"/>
            <w:noWrap/>
            <w:vAlign w:val="center"/>
            <w:hideMark/>
          </w:tcPr>
          <w:p w14:paraId="330E66CD" w14:textId="5D7A81DF" w:rsidR="00B67787" w:rsidRPr="00EE754E" w:rsidRDefault="00B67787" w:rsidP="00B67787">
            <w:pPr>
              <w:spacing w:after="0" w:line="240" w:lineRule="auto"/>
              <w:jc w:val="right"/>
              <w:rPr>
                <w:rFonts w:ascii="Aptos" w:eastAsia="Times New Roman" w:hAnsi="Aptos" w:cs="Times New Roman"/>
                <w:b/>
                <w:bCs/>
                <w:color w:val="006100"/>
                <w:lang w:eastAsia="tr-TR"/>
              </w:rPr>
            </w:pPr>
            <w:r w:rsidRPr="00EE754E">
              <w:rPr>
                <w:rFonts w:ascii="Aptos" w:eastAsia="Times New Roman" w:hAnsi="Aptos" w:cs="Times New Roman"/>
                <w:b/>
                <w:bCs/>
                <w:color w:val="006100"/>
                <w:lang w:eastAsia="tr-TR"/>
              </w:rPr>
              <w:t>2,00%</w:t>
            </w:r>
          </w:p>
        </w:tc>
      </w:tr>
    </w:tbl>
    <w:p w14:paraId="5F6B0BB6" w14:textId="77777777" w:rsidR="00931D60" w:rsidRDefault="00931D60" w:rsidP="00523BD9">
      <w:pPr>
        <w:jc w:val="center"/>
        <w:rPr>
          <w:rFonts w:cstheme="minorHAnsi"/>
        </w:rPr>
      </w:pPr>
    </w:p>
    <w:p w14:paraId="601C8E4D" w14:textId="27AA85A8" w:rsidR="001B35C5" w:rsidRPr="00086770" w:rsidRDefault="001B35C5" w:rsidP="006C3668">
      <w:pPr>
        <w:tabs>
          <w:tab w:val="left" w:pos="567"/>
        </w:tabs>
        <w:jc w:val="both"/>
        <w:rPr>
          <w:rFonts w:cstheme="minorHAnsi"/>
          <w:b/>
          <w:bCs/>
          <w:sz w:val="24"/>
          <w:szCs w:val="24"/>
        </w:rPr>
      </w:pPr>
      <w:r w:rsidRPr="005D7DFD">
        <w:rPr>
          <w:rFonts w:cstheme="minorHAnsi"/>
          <w:sz w:val="24"/>
          <w:szCs w:val="24"/>
        </w:rPr>
        <w:lastRenderedPageBreak/>
        <w:t xml:space="preserve">2023 yılında toplam yük içinde payı %32,2 olan Dökme Sıvı </w:t>
      </w:r>
      <w:r w:rsidR="00280789">
        <w:rPr>
          <w:rFonts w:cstheme="minorHAnsi"/>
          <w:sz w:val="24"/>
          <w:szCs w:val="24"/>
        </w:rPr>
        <w:t>Y</w:t>
      </w:r>
      <w:r w:rsidRPr="005D7DFD">
        <w:rPr>
          <w:rFonts w:cstheme="minorHAnsi"/>
          <w:sz w:val="24"/>
          <w:szCs w:val="24"/>
        </w:rPr>
        <w:t>ük 2024 yılında %3,3 oranında azal</w:t>
      </w:r>
      <w:r w:rsidR="007A452A">
        <w:rPr>
          <w:rFonts w:cstheme="minorHAnsi"/>
          <w:sz w:val="24"/>
          <w:szCs w:val="24"/>
        </w:rPr>
        <w:t xml:space="preserve">arak </w:t>
      </w:r>
      <w:r w:rsidRPr="005D7DFD">
        <w:rPr>
          <w:rFonts w:cstheme="minorHAnsi"/>
          <w:sz w:val="24"/>
          <w:szCs w:val="24"/>
        </w:rPr>
        <w:t xml:space="preserve">%30,5’a inmiştir. Dökme sıvı yükte yaklaşık 5,5 milyon tona miktar azalışının neredeyse tamamına yakını ağırlıklı olarak </w:t>
      </w:r>
      <w:r w:rsidR="007A452A">
        <w:rPr>
          <w:rFonts w:cstheme="minorHAnsi"/>
          <w:sz w:val="24"/>
          <w:szCs w:val="24"/>
        </w:rPr>
        <w:t xml:space="preserve">Ceyhan liman başkanlığı içindeki </w:t>
      </w:r>
      <w:r w:rsidR="00D82D1C">
        <w:rPr>
          <w:rFonts w:cstheme="minorHAnsi"/>
          <w:sz w:val="24"/>
          <w:szCs w:val="24"/>
        </w:rPr>
        <w:t xml:space="preserve">boru hattı terminallerinde gerçekleştirilen </w:t>
      </w:r>
      <w:r w:rsidRPr="005D7DFD">
        <w:rPr>
          <w:rFonts w:cstheme="minorHAnsi"/>
          <w:sz w:val="24"/>
          <w:szCs w:val="24"/>
        </w:rPr>
        <w:t>transit hampetrol elleçlemelerinden kaynaklıdır.</w:t>
      </w:r>
      <w:r w:rsidR="00095B98">
        <w:rPr>
          <w:rFonts w:cstheme="minorHAnsi"/>
          <w:sz w:val="24"/>
          <w:szCs w:val="24"/>
        </w:rPr>
        <w:t xml:space="preserve"> </w:t>
      </w:r>
      <w:r w:rsidRPr="005D7DFD">
        <w:rPr>
          <w:rFonts w:cstheme="minorHAnsi"/>
          <w:sz w:val="24"/>
          <w:szCs w:val="24"/>
        </w:rPr>
        <w:t xml:space="preserve">Raporumuzun </w:t>
      </w:r>
      <w:r w:rsidR="00152279">
        <w:rPr>
          <w:rFonts w:cstheme="minorHAnsi"/>
          <w:sz w:val="24"/>
          <w:szCs w:val="24"/>
        </w:rPr>
        <w:t xml:space="preserve">son bölümünde </w:t>
      </w:r>
      <w:r w:rsidRPr="00152279">
        <w:rPr>
          <w:rFonts w:cstheme="minorHAnsi"/>
          <w:b/>
          <w:bCs/>
          <w:sz w:val="24"/>
          <w:szCs w:val="24"/>
        </w:rPr>
        <w:t>“</w:t>
      </w:r>
      <w:r w:rsidR="00086770" w:rsidRPr="004B38D8">
        <w:rPr>
          <w:rFonts w:cstheme="minorHAnsi"/>
          <w:b/>
          <w:bCs/>
          <w:sz w:val="24"/>
          <w:szCs w:val="24"/>
        </w:rPr>
        <w:t xml:space="preserve">Türkiye’de Faaliyette Olan </w:t>
      </w:r>
      <w:r w:rsidR="00086770">
        <w:rPr>
          <w:rFonts w:cstheme="minorHAnsi"/>
          <w:b/>
          <w:bCs/>
          <w:sz w:val="24"/>
          <w:szCs w:val="24"/>
        </w:rPr>
        <w:t xml:space="preserve">Transit </w:t>
      </w:r>
      <w:r w:rsidR="00086770" w:rsidRPr="004B38D8">
        <w:rPr>
          <w:rFonts w:cstheme="minorHAnsi"/>
          <w:b/>
          <w:bCs/>
          <w:sz w:val="24"/>
          <w:szCs w:val="24"/>
        </w:rPr>
        <w:t>Hampetrol Boru Hattı Terminallerinin Toplam Yük İstatistiklere Etkisi</w:t>
      </w:r>
      <w:r w:rsidRPr="00152279">
        <w:rPr>
          <w:rFonts w:cstheme="minorHAnsi"/>
          <w:b/>
          <w:bCs/>
          <w:sz w:val="24"/>
          <w:szCs w:val="24"/>
        </w:rPr>
        <w:t xml:space="preserve">” </w:t>
      </w:r>
      <w:r w:rsidR="00152279" w:rsidRPr="00152279">
        <w:rPr>
          <w:rFonts w:cstheme="minorHAnsi"/>
          <w:sz w:val="24"/>
          <w:szCs w:val="24"/>
        </w:rPr>
        <w:t>başlığı altında</w:t>
      </w:r>
      <w:r w:rsidR="00152279">
        <w:rPr>
          <w:rFonts w:cstheme="minorHAnsi"/>
          <w:b/>
          <w:bCs/>
          <w:sz w:val="24"/>
          <w:szCs w:val="24"/>
        </w:rPr>
        <w:t xml:space="preserve"> </w:t>
      </w:r>
      <w:r w:rsidRPr="005D7DFD">
        <w:rPr>
          <w:rFonts w:cstheme="minorHAnsi"/>
          <w:sz w:val="24"/>
          <w:szCs w:val="24"/>
        </w:rPr>
        <w:t>Ceyhan ve İskenderun liman başkanlığı sınırlarında bulunan BTC Ceyhan, BOTAŞ Dörtyol ve BOTAŞ Ceyhan terminallerinde</w:t>
      </w:r>
      <w:r w:rsidR="00152279">
        <w:rPr>
          <w:rFonts w:cstheme="minorHAnsi"/>
          <w:sz w:val="24"/>
          <w:szCs w:val="24"/>
        </w:rPr>
        <w:t xml:space="preserve"> </w:t>
      </w:r>
      <w:r w:rsidR="00152279" w:rsidRPr="005D7DFD">
        <w:rPr>
          <w:rFonts w:cstheme="minorHAnsi"/>
          <w:sz w:val="24"/>
          <w:szCs w:val="24"/>
        </w:rPr>
        <w:t xml:space="preserve">2012-2024 yılları </w:t>
      </w:r>
      <w:r w:rsidR="00152279">
        <w:rPr>
          <w:rFonts w:cstheme="minorHAnsi"/>
          <w:sz w:val="24"/>
          <w:szCs w:val="24"/>
        </w:rPr>
        <w:t xml:space="preserve">arasında gerçekleşen hampetrol </w:t>
      </w:r>
      <w:r w:rsidR="00793A9A">
        <w:rPr>
          <w:rFonts w:cstheme="minorHAnsi"/>
          <w:sz w:val="24"/>
          <w:szCs w:val="24"/>
        </w:rPr>
        <w:t>elleçleme m</w:t>
      </w:r>
      <w:r w:rsidRPr="005D7DFD">
        <w:rPr>
          <w:rFonts w:cstheme="minorHAnsi"/>
          <w:sz w:val="24"/>
          <w:szCs w:val="24"/>
        </w:rPr>
        <w:t xml:space="preserve">iktarları </w:t>
      </w:r>
      <w:r w:rsidR="00793A9A">
        <w:rPr>
          <w:rFonts w:cstheme="minorHAnsi"/>
          <w:sz w:val="24"/>
          <w:szCs w:val="24"/>
        </w:rPr>
        <w:t xml:space="preserve">verilmekte, bu konuda bu transit hampetrolün toplam yük içinde yer alan Dökme Sıvı Yük istatistiklerini ne derece değiştirebildiği de </w:t>
      </w:r>
      <w:r w:rsidRPr="005D7DFD">
        <w:rPr>
          <w:rFonts w:cstheme="minorHAnsi"/>
          <w:sz w:val="24"/>
          <w:szCs w:val="24"/>
        </w:rPr>
        <w:t xml:space="preserve">değerlendirilmektedir. </w:t>
      </w:r>
    </w:p>
    <w:p w14:paraId="061524EF" w14:textId="21BA3B9B" w:rsidR="00AC208D" w:rsidRPr="005D7DFD" w:rsidRDefault="00CC0EE3" w:rsidP="005D7DFD">
      <w:pPr>
        <w:jc w:val="both"/>
        <w:rPr>
          <w:rFonts w:cstheme="minorHAnsi"/>
          <w:sz w:val="24"/>
          <w:szCs w:val="24"/>
        </w:rPr>
      </w:pPr>
      <w:r w:rsidRPr="005D7DFD">
        <w:rPr>
          <w:rFonts w:cstheme="minorHAnsi"/>
          <w:sz w:val="24"/>
          <w:szCs w:val="24"/>
        </w:rPr>
        <w:t>2023 yılında toplam yük içinde %1</w:t>
      </w:r>
      <w:r w:rsidR="007B4E22" w:rsidRPr="005D7DFD">
        <w:rPr>
          <w:rFonts w:cstheme="minorHAnsi"/>
          <w:sz w:val="24"/>
          <w:szCs w:val="24"/>
        </w:rPr>
        <w:t>0,5</w:t>
      </w:r>
      <w:r w:rsidRPr="005D7DFD">
        <w:rPr>
          <w:rFonts w:cstheme="minorHAnsi"/>
          <w:sz w:val="24"/>
          <w:szCs w:val="24"/>
        </w:rPr>
        <w:t xml:space="preserve"> payı olan </w:t>
      </w:r>
      <w:r w:rsidR="00D52F60" w:rsidRPr="005D7DFD">
        <w:rPr>
          <w:rFonts w:cstheme="minorHAnsi"/>
          <w:sz w:val="24"/>
          <w:szCs w:val="24"/>
        </w:rPr>
        <w:t>Genel Kargo</w:t>
      </w:r>
      <w:r w:rsidRPr="005D7DFD">
        <w:rPr>
          <w:rFonts w:cstheme="minorHAnsi"/>
          <w:sz w:val="24"/>
          <w:szCs w:val="24"/>
        </w:rPr>
        <w:t xml:space="preserve"> yükler</w:t>
      </w:r>
      <w:r w:rsidR="006673C2" w:rsidRPr="005D7DFD">
        <w:rPr>
          <w:rFonts w:cstheme="minorHAnsi"/>
          <w:sz w:val="24"/>
          <w:szCs w:val="24"/>
        </w:rPr>
        <w:t xml:space="preserve"> 2024 yılında %1</w:t>
      </w:r>
      <w:r w:rsidR="00C353AA" w:rsidRPr="005D7DFD">
        <w:rPr>
          <w:rFonts w:cstheme="minorHAnsi"/>
          <w:sz w:val="24"/>
          <w:szCs w:val="24"/>
        </w:rPr>
        <w:t>3,2</w:t>
      </w:r>
      <w:r w:rsidR="006673C2" w:rsidRPr="005D7DFD">
        <w:rPr>
          <w:rFonts w:cstheme="minorHAnsi"/>
          <w:sz w:val="24"/>
          <w:szCs w:val="24"/>
        </w:rPr>
        <w:t xml:space="preserve"> oranında artar</w:t>
      </w:r>
      <w:r w:rsidR="00FA4731">
        <w:rPr>
          <w:rFonts w:cstheme="minorHAnsi"/>
          <w:sz w:val="24"/>
          <w:szCs w:val="24"/>
        </w:rPr>
        <w:t xml:space="preserve">ak </w:t>
      </w:r>
      <w:r w:rsidR="006673C2" w:rsidRPr="005D7DFD">
        <w:rPr>
          <w:rFonts w:cstheme="minorHAnsi"/>
          <w:sz w:val="24"/>
          <w:szCs w:val="24"/>
        </w:rPr>
        <w:t>%1</w:t>
      </w:r>
      <w:r w:rsidR="00C353AA" w:rsidRPr="005D7DFD">
        <w:rPr>
          <w:rFonts w:cstheme="minorHAnsi"/>
          <w:sz w:val="24"/>
          <w:szCs w:val="24"/>
        </w:rPr>
        <w:t>1,7</w:t>
      </w:r>
      <w:r w:rsidR="006673C2" w:rsidRPr="005D7DFD">
        <w:rPr>
          <w:rFonts w:cstheme="minorHAnsi"/>
          <w:sz w:val="24"/>
          <w:szCs w:val="24"/>
        </w:rPr>
        <w:t xml:space="preserve">’ye çıkmıştır. </w:t>
      </w:r>
      <w:r w:rsidR="00C7623C" w:rsidRPr="005D7DFD">
        <w:rPr>
          <w:rFonts w:cstheme="minorHAnsi"/>
          <w:sz w:val="24"/>
          <w:szCs w:val="24"/>
        </w:rPr>
        <w:t>2023 yılında toplam yük içinde %2</w:t>
      </w:r>
      <w:r w:rsidR="00786FCE" w:rsidRPr="005D7DFD">
        <w:rPr>
          <w:rFonts w:cstheme="minorHAnsi"/>
          <w:sz w:val="24"/>
          <w:szCs w:val="24"/>
        </w:rPr>
        <w:t>,2</w:t>
      </w:r>
      <w:r w:rsidR="00C7623C" w:rsidRPr="005D7DFD">
        <w:rPr>
          <w:rFonts w:cstheme="minorHAnsi"/>
          <w:sz w:val="24"/>
          <w:szCs w:val="24"/>
        </w:rPr>
        <w:t xml:space="preserve"> payı olan ve ağırlıkla </w:t>
      </w:r>
      <w:r w:rsidR="00053CC0" w:rsidRPr="005D7DFD">
        <w:rPr>
          <w:rFonts w:cstheme="minorHAnsi"/>
          <w:sz w:val="24"/>
          <w:szCs w:val="24"/>
        </w:rPr>
        <w:t>RO-RO</w:t>
      </w:r>
      <w:r w:rsidR="00E470A1" w:rsidRPr="005D7DFD">
        <w:rPr>
          <w:rFonts w:cstheme="minorHAnsi"/>
          <w:sz w:val="24"/>
          <w:szCs w:val="24"/>
        </w:rPr>
        <w:t xml:space="preserve"> terminallerinde elleçlenen </w:t>
      </w:r>
      <w:r w:rsidR="00D52F60" w:rsidRPr="005D7DFD">
        <w:rPr>
          <w:rFonts w:cstheme="minorHAnsi"/>
          <w:sz w:val="24"/>
          <w:szCs w:val="24"/>
        </w:rPr>
        <w:t>Araç yükleri</w:t>
      </w:r>
      <w:r w:rsidR="00E470A1" w:rsidRPr="005D7DFD">
        <w:rPr>
          <w:rFonts w:cstheme="minorHAnsi"/>
          <w:sz w:val="24"/>
          <w:szCs w:val="24"/>
        </w:rPr>
        <w:t xml:space="preserve"> </w:t>
      </w:r>
      <w:r w:rsidR="00414230" w:rsidRPr="005D7DFD">
        <w:rPr>
          <w:rFonts w:cstheme="minorHAnsi"/>
          <w:sz w:val="24"/>
          <w:szCs w:val="24"/>
        </w:rPr>
        <w:t>2024 yılında %5,5 oranında art</w:t>
      </w:r>
      <w:r w:rsidR="00B07174">
        <w:rPr>
          <w:rFonts w:cstheme="minorHAnsi"/>
          <w:sz w:val="24"/>
          <w:szCs w:val="24"/>
        </w:rPr>
        <w:t xml:space="preserve">mış, fakat toplam yük içinde </w:t>
      </w:r>
      <w:r w:rsidR="00AC208D" w:rsidRPr="005D7DFD">
        <w:rPr>
          <w:rFonts w:cstheme="minorHAnsi"/>
          <w:sz w:val="24"/>
          <w:szCs w:val="24"/>
        </w:rPr>
        <w:t>%2</w:t>
      </w:r>
      <w:r w:rsidR="00786FCE" w:rsidRPr="005D7DFD">
        <w:rPr>
          <w:rFonts w:cstheme="minorHAnsi"/>
          <w:sz w:val="24"/>
          <w:szCs w:val="24"/>
        </w:rPr>
        <w:t>,2</w:t>
      </w:r>
      <w:r w:rsidR="00AC208D" w:rsidRPr="005D7DFD">
        <w:rPr>
          <w:rFonts w:cstheme="minorHAnsi"/>
          <w:sz w:val="24"/>
          <w:szCs w:val="24"/>
        </w:rPr>
        <w:t xml:space="preserve"> ola</w:t>
      </w:r>
      <w:r w:rsidR="00B07174">
        <w:rPr>
          <w:rFonts w:cstheme="minorHAnsi"/>
          <w:sz w:val="24"/>
          <w:szCs w:val="24"/>
        </w:rPr>
        <w:t xml:space="preserve">n payı </w:t>
      </w:r>
      <w:r w:rsidR="00AC208D" w:rsidRPr="005D7DFD">
        <w:rPr>
          <w:rFonts w:cstheme="minorHAnsi"/>
          <w:sz w:val="24"/>
          <w:szCs w:val="24"/>
        </w:rPr>
        <w:t xml:space="preserve">değişmemiştir. </w:t>
      </w:r>
      <w:r w:rsidR="0054306E" w:rsidRPr="005D7DFD">
        <w:rPr>
          <w:rFonts w:cstheme="minorHAnsi"/>
          <w:sz w:val="24"/>
          <w:szCs w:val="24"/>
        </w:rPr>
        <w:t>2023 yılında toplam yük içinde %2</w:t>
      </w:r>
      <w:r w:rsidR="00786FCE" w:rsidRPr="005D7DFD">
        <w:rPr>
          <w:rFonts w:cstheme="minorHAnsi"/>
          <w:sz w:val="24"/>
          <w:szCs w:val="24"/>
        </w:rPr>
        <w:t>5,</w:t>
      </w:r>
      <w:r w:rsidR="0054306E" w:rsidRPr="005D7DFD">
        <w:rPr>
          <w:rFonts w:cstheme="minorHAnsi"/>
          <w:sz w:val="24"/>
          <w:szCs w:val="24"/>
        </w:rPr>
        <w:t>6 payı olan Konteyner yükü ise 2024 yılında %7,4 oranında artar</w:t>
      </w:r>
      <w:r w:rsidR="00163311">
        <w:rPr>
          <w:rFonts w:cstheme="minorHAnsi"/>
          <w:sz w:val="24"/>
          <w:szCs w:val="24"/>
        </w:rPr>
        <w:t xml:space="preserve">ak </w:t>
      </w:r>
      <w:r w:rsidR="0054306E" w:rsidRPr="005D7DFD">
        <w:rPr>
          <w:rFonts w:cstheme="minorHAnsi"/>
          <w:sz w:val="24"/>
          <w:szCs w:val="24"/>
        </w:rPr>
        <w:t>%27’ye çıkmıştır.</w:t>
      </w:r>
    </w:p>
    <w:p w14:paraId="4CC4B338" w14:textId="463B2C85" w:rsidR="0054306E" w:rsidRDefault="008F3893" w:rsidP="000938CE">
      <w:pPr>
        <w:jc w:val="both"/>
        <w:rPr>
          <w:rFonts w:cstheme="minorHAnsi"/>
          <w:sz w:val="24"/>
          <w:szCs w:val="24"/>
        </w:rPr>
      </w:pPr>
      <w:r w:rsidRPr="005D7DFD">
        <w:rPr>
          <w:rFonts w:cstheme="minorHAnsi"/>
          <w:sz w:val="24"/>
          <w:szCs w:val="24"/>
        </w:rPr>
        <w:t>Kargo tipleri açısından 2024 yılını 2023 yılıyla karşılaştırdığımızda Konteyner</w:t>
      </w:r>
      <w:r w:rsidR="00F37A4C" w:rsidRPr="005D7DFD">
        <w:rPr>
          <w:rFonts w:cstheme="minorHAnsi"/>
          <w:sz w:val="24"/>
          <w:szCs w:val="24"/>
        </w:rPr>
        <w:t xml:space="preserve"> yüklerindeki artış 2024 yılında</w:t>
      </w:r>
      <w:r w:rsidR="005E3B1F">
        <w:rPr>
          <w:rFonts w:cstheme="minorHAnsi"/>
          <w:sz w:val="24"/>
          <w:szCs w:val="24"/>
        </w:rPr>
        <w:t xml:space="preserve"> Toplam Yükte gerçekleşen </w:t>
      </w:r>
      <w:r w:rsidR="00F37A4C" w:rsidRPr="005D7DFD">
        <w:rPr>
          <w:rFonts w:cstheme="minorHAnsi"/>
          <w:sz w:val="24"/>
          <w:szCs w:val="24"/>
        </w:rPr>
        <w:t xml:space="preserve">%2’lik artışın </w:t>
      </w:r>
      <w:r w:rsidR="005E3B1F">
        <w:rPr>
          <w:rFonts w:cstheme="minorHAnsi"/>
          <w:sz w:val="24"/>
          <w:szCs w:val="24"/>
        </w:rPr>
        <w:t xml:space="preserve">da </w:t>
      </w:r>
      <w:r w:rsidR="00F37A4C" w:rsidRPr="005D7DFD">
        <w:rPr>
          <w:rFonts w:cstheme="minorHAnsi"/>
          <w:sz w:val="24"/>
          <w:szCs w:val="24"/>
        </w:rPr>
        <w:t xml:space="preserve">ana </w:t>
      </w:r>
      <w:r w:rsidR="00BF09D2" w:rsidRPr="005D7DFD">
        <w:rPr>
          <w:rFonts w:cstheme="minorHAnsi"/>
          <w:sz w:val="24"/>
          <w:szCs w:val="24"/>
        </w:rPr>
        <w:t xml:space="preserve">nedeni </w:t>
      </w:r>
      <w:r w:rsidR="00F37A4C" w:rsidRPr="005D7DFD">
        <w:rPr>
          <w:rFonts w:cstheme="minorHAnsi"/>
          <w:sz w:val="24"/>
          <w:szCs w:val="24"/>
        </w:rPr>
        <w:t xml:space="preserve">olmuştur. </w:t>
      </w:r>
      <w:r w:rsidR="00294A0E" w:rsidRPr="005D7DFD">
        <w:rPr>
          <w:rFonts w:cstheme="minorHAnsi"/>
          <w:sz w:val="24"/>
          <w:szCs w:val="24"/>
        </w:rPr>
        <w:t>Toplam yük içinde birlikte değerlendirildiğinde %61</w:t>
      </w:r>
      <w:r w:rsidR="00A0447E" w:rsidRPr="005D7DFD">
        <w:rPr>
          <w:rFonts w:cstheme="minorHAnsi"/>
          <w:sz w:val="24"/>
          <w:szCs w:val="24"/>
        </w:rPr>
        <w:t xml:space="preserve">,7 ile </w:t>
      </w:r>
      <w:r w:rsidR="00294A0E" w:rsidRPr="005D7DFD">
        <w:rPr>
          <w:rFonts w:cstheme="minorHAnsi"/>
          <w:sz w:val="24"/>
          <w:szCs w:val="24"/>
        </w:rPr>
        <w:t xml:space="preserve">en büyük payı Kuru Dökme </w:t>
      </w:r>
      <w:r w:rsidR="005E3B1F">
        <w:rPr>
          <w:rFonts w:cstheme="minorHAnsi"/>
          <w:sz w:val="24"/>
          <w:szCs w:val="24"/>
        </w:rPr>
        <w:t xml:space="preserve">Yük </w:t>
      </w:r>
      <w:r w:rsidR="00294A0E" w:rsidRPr="005D7DFD">
        <w:rPr>
          <w:rFonts w:cstheme="minorHAnsi"/>
          <w:sz w:val="24"/>
          <w:szCs w:val="24"/>
        </w:rPr>
        <w:t xml:space="preserve">ve Dökme Sıvı </w:t>
      </w:r>
      <w:r w:rsidR="005E3B1F">
        <w:rPr>
          <w:rFonts w:cstheme="minorHAnsi"/>
          <w:sz w:val="24"/>
          <w:szCs w:val="24"/>
        </w:rPr>
        <w:t>Y</w:t>
      </w:r>
      <w:r w:rsidR="00294A0E" w:rsidRPr="005D7DFD">
        <w:rPr>
          <w:rFonts w:cstheme="minorHAnsi"/>
          <w:sz w:val="24"/>
          <w:szCs w:val="24"/>
        </w:rPr>
        <w:t>ükün</w:t>
      </w:r>
      <w:r w:rsidR="00F87DC8" w:rsidRPr="005D7DFD">
        <w:rPr>
          <w:rFonts w:cstheme="minorHAnsi"/>
          <w:sz w:val="24"/>
          <w:szCs w:val="24"/>
        </w:rPr>
        <w:t xml:space="preserve"> </w:t>
      </w:r>
      <w:r w:rsidR="0071225F">
        <w:rPr>
          <w:rFonts w:cstheme="minorHAnsi"/>
          <w:sz w:val="24"/>
          <w:szCs w:val="24"/>
        </w:rPr>
        <w:t xml:space="preserve">oluşturmaktadır. Bu iki yükün </w:t>
      </w:r>
      <w:r w:rsidR="00AF06C8">
        <w:rPr>
          <w:rFonts w:cstheme="minorHAnsi"/>
          <w:sz w:val="24"/>
          <w:szCs w:val="24"/>
        </w:rPr>
        <w:t xml:space="preserve">2023 yılı elleçleme tonajı </w:t>
      </w:r>
      <w:r w:rsidR="00362E1C" w:rsidRPr="005D7DFD">
        <w:rPr>
          <w:rFonts w:cstheme="minorHAnsi"/>
          <w:sz w:val="24"/>
          <w:szCs w:val="24"/>
        </w:rPr>
        <w:t>321,5 milyon ton</w:t>
      </w:r>
      <w:r w:rsidR="0071225F">
        <w:rPr>
          <w:rFonts w:cstheme="minorHAnsi"/>
          <w:sz w:val="24"/>
          <w:szCs w:val="24"/>
        </w:rPr>
        <w:t xml:space="preserve">dur. </w:t>
      </w:r>
      <w:r w:rsidR="00362E1C" w:rsidRPr="005D7DFD">
        <w:rPr>
          <w:rFonts w:cstheme="minorHAnsi"/>
          <w:sz w:val="24"/>
          <w:szCs w:val="24"/>
        </w:rPr>
        <w:t xml:space="preserve"> </w:t>
      </w:r>
      <w:r w:rsidR="00AF06C8">
        <w:rPr>
          <w:rFonts w:cstheme="minorHAnsi"/>
          <w:sz w:val="24"/>
          <w:szCs w:val="24"/>
        </w:rPr>
        <w:t xml:space="preserve">Bu iki yükün toplamı </w:t>
      </w:r>
      <w:r w:rsidR="00A0447E" w:rsidRPr="005D7DFD">
        <w:rPr>
          <w:rFonts w:cstheme="minorHAnsi"/>
          <w:sz w:val="24"/>
          <w:szCs w:val="24"/>
        </w:rPr>
        <w:t xml:space="preserve">2024 yılında </w:t>
      </w:r>
      <w:r w:rsidR="00A7019A" w:rsidRPr="005D7DFD">
        <w:rPr>
          <w:rFonts w:cstheme="minorHAnsi"/>
          <w:sz w:val="24"/>
          <w:szCs w:val="24"/>
        </w:rPr>
        <w:t xml:space="preserve">%2,2 oranında </w:t>
      </w:r>
      <w:r w:rsidR="00F87DC8" w:rsidRPr="005D7DFD">
        <w:rPr>
          <w:rFonts w:cstheme="minorHAnsi"/>
          <w:sz w:val="24"/>
          <w:szCs w:val="24"/>
        </w:rPr>
        <w:t xml:space="preserve">azalarak </w:t>
      </w:r>
      <w:r w:rsidR="005A106A" w:rsidRPr="005D7DFD">
        <w:rPr>
          <w:rFonts w:cstheme="minorHAnsi"/>
          <w:sz w:val="24"/>
          <w:szCs w:val="24"/>
        </w:rPr>
        <w:t>314,4 milyona tona düşmüş</w:t>
      </w:r>
      <w:r w:rsidR="00A7019A" w:rsidRPr="005D7DFD">
        <w:rPr>
          <w:rFonts w:cstheme="minorHAnsi"/>
          <w:sz w:val="24"/>
          <w:szCs w:val="24"/>
        </w:rPr>
        <w:t xml:space="preserve">tür. </w:t>
      </w:r>
      <w:r w:rsidR="008018E0">
        <w:rPr>
          <w:rFonts w:cstheme="minorHAnsi"/>
          <w:sz w:val="24"/>
          <w:szCs w:val="24"/>
        </w:rPr>
        <w:t xml:space="preserve">Bu durum limanlarımızın esas olarak bu iki yükte tonaj kaybettiğini göstermektedir. Bu durum </w:t>
      </w:r>
      <w:r w:rsidR="00BF09D2" w:rsidRPr="005D7DFD">
        <w:rPr>
          <w:rFonts w:cstheme="minorHAnsi"/>
          <w:sz w:val="24"/>
          <w:szCs w:val="24"/>
        </w:rPr>
        <w:t>Konteyner</w:t>
      </w:r>
      <w:r w:rsidR="008018E0">
        <w:rPr>
          <w:rFonts w:cstheme="minorHAnsi"/>
          <w:sz w:val="24"/>
          <w:szCs w:val="24"/>
        </w:rPr>
        <w:t xml:space="preserve">in </w:t>
      </w:r>
      <w:r w:rsidR="00E85508">
        <w:rPr>
          <w:rFonts w:cstheme="minorHAnsi"/>
          <w:sz w:val="24"/>
          <w:szCs w:val="24"/>
        </w:rPr>
        <w:t xml:space="preserve">genel olarak toplam elleçlenen yük miktarına olan katkısını ve önemini de göstermektedir. </w:t>
      </w:r>
      <w:r w:rsidR="002464F0">
        <w:rPr>
          <w:rFonts w:cstheme="minorHAnsi"/>
          <w:sz w:val="24"/>
          <w:szCs w:val="24"/>
        </w:rPr>
        <w:t xml:space="preserve">Eğer 2024 yılında konteynerde </w:t>
      </w:r>
      <w:r w:rsidR="00BF09D2" w:rsidRPr="005D7DFD">
        <w:rPr>
          <w:rFonts w:cstheme="minorHAnsi"/>
          <w:sz w:val="24"/>
          <w:szCs w:val="24"/>
        </w:rPr>
        <w:t>artış olma</w:t>
      </w:r>
      <w:r w:rsidR="00294A0E" w:rsidRPr="005D7DFD">
        <w:rPr>
          <w:rFonts w:cstheme="minorHAnsi"/>
          <w:sz w:val="24"/>
          <w:szCs w:val="24"/>
        </w:rPr>
        <w:t>sa</w:t>
      </w:r>
      <w:r w:rsidR="002464F0">
        <w:rPr>
          <w:rFonts w:cstheme="minorHAnsi"/>
          <w:sz w:val="24"/>
          <w:szCs w:val="24"/>
        </w:rPr>
        <w:t>ydı,</w:t>
      </w:r>
      <w:r w:rsidR="00294A0E" w:rsidRPr="005D7DFD">
        <w:rPr>
          <w:rFonts w:cstheme="minorHAnsi"/>
          <w:sz w:val="24"/>
          <w:szCs w:val="24"/>
        </w:rPr>
        <w:t xml:space="preserve"> </w:t>
      </w:r>
      <w:r w:rsidR="00845FD6" w:rsidRPr="005D7DFD">
        <w:rPr>
          <w:rFonts w:cstheme="minorHAnsi"/>
          <w:sz w:val="24"/>
          <w:szCs w:val="24"/>
        </w:rPr>
        <w:t>2024 yılı</w:t>
      </w:r>
      <w:r w:rsidR="002464F0">
        <w:rPr>
          <w:rFonts w:cstheme="minorHAnsi"/>
          <w:sz w:val="24"/>
          <w:szCs w:val="24"/>
        </w:rPr>
        <w:t xml:space="preserve"> sonunda </w:t>
      </w:r>
      <w:r w:rsidR="00294A0E" w:rsidRPr="005D7DFD">
        <w:rPr>
          <w:rFonts w:cstheme="minorHAnsi"/>
          <w:sz w:val="24"/>
          <w:szCs w:val="24"/>
        </w:rPr>
        <w:t>limanlarımızda</w:t>
      </w:r>
      <w:r w:rsidR="00BF09D2" w:rsidRPr="005D7DFD">
        <w:rPr>
          <w:rFonts w:cstheme="minorHAnsi"/>
          <w:sz w:val="24"/>
          <w:szCs w:val="24"/>
        </w:rPr>
        <w:t xml:space="preserve"> </w:t>
      </w:r>
      <w:r w:rsidR="00845FD6" w:rsidRPr="005D7DFD">
        <w:rPr>
          <w:rFonts w:cstheme="minorHAnsi"/>
          <w:sz w:val="24"/>
          <w:szCs w:val="24"/>
        </w:rPr>
        <w:t xml:space="preserve">elleçlenen </w:t>
      </w:r>
      <w:r w:rsidR="00BF09D2" w:rsidRPr="005D7DFD">
        <w:rPr>
          <w:rFonts w:cstheme="minorHAnsi"/>
          <w:sz w:val="24"/>
          <w:szCs w:val="24"/>
        </w:rPr>
        <w:t>toplamda yükün 2023 yılına göre düşeceği</w:t>
      </w:r>
      <w:r w:rsidR="002464F0">
        <w:rPr>
          <w:rFonts w:cstheme="minorHAnsi"/>
          <w:sz w:val="24"/>
          <w:szCs w:val="24"/>
        </w:rPr>
        <w:t xml:space="preserve"> açıktır. </w:t>
      </w:r>
      <w:r w:rsidR="000938CE" w:rsidRPr="005D7DFD">
        <w:rPr>
          <w:rFonts w:cstheme="minorHAnsi"/>
          <w:sz w:val="24"/>
          <w:szCs w:val="24"/>
        </w:rPr>
        <w:t xml:space="preserve">Konteyner yükleriyle ilgili değerlendirme raporumuzun </w:t>
      </w:r>
      <w:r w:rsidR="002464F0">
        <w:rPr>
          <w:rFonts w:cstheme="minorHAnsi"/>
          <w:sz w:val="24"/>
          <w:szCs w:val="24"/>
        </w:rPr>
        <w:t xml:space="preserve">2. bölümünde </w:t>
      </w:r>
      <w:r w:rsidR="000938CE" w:rsidRPr="005D7DFD">
        <w:rPr>
          <w:rFonts w:cstheme="minorHAnsi"/>
          <w:sz w:val="24"/>
          <w:szCs w:val="24"/>
        </w:rPr>
        <w:t xml:space="preserve">yer almaktadır. </w:t>
      </w:r>
    </w:p>
    <w:p w14:paraId="6F41BE3C" w14:textId="2CB3B5FD" w:rsidR="004973F9" w:rsidRPr="004973F9" w:rsidRDefault="004973F9" w:rsidP="004973F9">
      <w:pPr>
        <w:jc w:val="both"/>
        <w:rPr>
          <w:rFonts w:cstheme="minorHAnsi"/>
          <w:sz w:val="24"/>
          <w:szCs w:val="24"/>
        </w:rPr>
      </w:pPr>
      <w:r w:rsidRPr="005D7DFD">
        <w:rPr>
          <w:rFonts w:cstheme="minorHAnsi"/>
          <w:sz w:val="24"/>
          <w:szCs w:val="24"/>
        </w:rPr>
        <w:t xml:space="preserve">Aşağıdaki Grafik-2’de 2023 yılında limanlarımızda elleçlenen Kargo Tipi bazındaki yüklerin toplam yük içindeki oranı görülmektedir. Yine Aynı şekilde Grafik-3’te ise 2024 yılında limanlarımızda elleçlenen Kargo Tipi bazındaki yüklerin toplam yük içindeki oranı verilmektedir. </w:t>
      </w:r>
      <w:r w:rsidRPr="004973F9">
        <w:rPr>
          <w:rFonts w:cstheme="minorHAnsi"/>
          <w:sz w:val="24"/>
          <w:szCs w:val="24"/>
        </w:rPr>
        <w:t xml:space="preserve">2023 ve 2024 yılı karşılaştırıldığında; </w:t>
      </w:r>
    </w:p>
    <w:p w14:paraId="482BFE9B" w14:textId="072E95EE" w:rsidR="004973F9" w:rsidRPr="009B7AA1" w:rsidRDefault="004973F9" w:rsidP="009B7AA1">
      <w:pPr>
        <w:pStyle w:val="ListeParagraf"/>
        <w:numPr>
          <w:ilvl w:val="0"/>
          <w:numId w:val="3"/>
        </w:numPr>
        <w:jc w:val="both"/>
        <w:rPr>
          <w:rFonts w:cstheme="minorHAnsi"/>
          <w:sz w:val="24"/>
          <w:szCs w:val="24"/>
        </w:rPr>
      </w:pPr>
      <w:r w:rsidRPr="009B7AA1">
        <w:rPr>
          <w:rFonts w:cstheme="minorHAnsi"/>
          <w:sz w:val="24"/>
          <w:szCs w:val="24"/>
        </w:rPr>
        <w:t>Kuru Dökme Yükün 2023 yılında %29,5 olan payı 2024 yılında %28,6’ya düşmüş</w:t>
      </w:r>
      <w:r w:rsidR="009B7AA1" w:rsidRPr="009B7AA1">
        <w:rPr>
          <w:rFonts w:cstheme="minorHAnsi"/>
          <w:sz w:val="24"/>
          <w:szCs w:val="24"/>
        </w:rPr>
        <w:t>tür.</w:t>
      </w:r>
    </w:p>
    <w:p w14:paraId="5AD34F0F" w14:textId="353973EE" w:rsidR="004973F9" w:rsidRPr="009B7AA1" w:rsidRDefault="004973F9" w:rsidP="009B7AA1">
      <w:pPr>
        <w:pStyle w:val="ListeParagraf"/>
        <w:numPr>
          <w:ilvl w:val="0"/>
          <w:numId w:val="3"/>
        </w:numPr>
        <w:jc w:val="both"/>
        <w:rPr>
          <w:rFonts w:cstheme="minorHAnsi"/>
          <w:sz w:val="24"/>
          <w:szCs w:val="24"/>
        </w:rPr>
      </w:pPr>
      <w:r w:rsidRPr="009B7AA1">
        <w:rPr>
          <w:rFonts w:cstheme="minorHAnsi"/>
          <w:sz w:val="24"/>
          <w:szCs w:val="24"/>
        </w:rPr>
        <w:t>Dökme Sıvı Yükün 2023 yılında %32,2 olan payı 2024 yılında %30,5’e düşmüş</w:t>
      </w:r>
      <w:r w:rsidR="009B7AA1" w:rsidRPr="009B7AA1">
        <w:rPr>
          <w:rFonts w:cstheme="minorHAnsi"/>
          <w:sz w:val="24"/>
          <w:szCs w:val="24"/>
        </w:rPr>
        <w:t>tür.</w:t>
      </w:r>
    </w:p>
    <w:p w14:paraId="778CC89D" w14:textId="03ADE588" w:rsidR="004973F9" w:rsidRPr="009B7AA1" w:rsidRDefault="004973F9" w:rsidP="009B7AA1">
      <w:pPr>
        <w:pStyle w:val="ListeParagraf"/>
        <w:numPr>
          <w:ilvl w:val="0"/>
          <w:numId w:val="3"/>
        </w:numPr>
        <w:jc w:val="both"/>
        <w:rPr>
          <w:rFonts w:cstheme="minorHAnsi"/>
          <w:sz w:val="24"/>
          <w:szCs w:val="24"/>
        </w:rPr>
      </w:pPr>
      <w:r w:rsidRPr="009B7AA1">
        <w:rPr>
          <w:rFonts w:cstheme="minorHAnsi"/>
          <w:sz w:val="24"/>
          <w:szCs w:val="24"/>
        </w:rPr>
        <w:t>Genel Kargo Yükün 2023 yılında %10,5 olan payı 2024 yılında %11,73 çıkmış</w:t>
      </w:r>
      <w:r w:rsidR="009B7AA1" w:rsidRPr="009B7AA1">
        <w:rPr>
          <w:rFonts w:cstheme="minorHAnsi"/>
          <w:sz w:val="24"/>
          <w:szCs w:val="24"/>
        </w:rPr>
        <w:t>tır.</w:t>
      </w:r>
      <w:r w:rsidRPr="009B7AA1">
        <w:rPr>
          <w:rFonts w:cstheme="minorHAnsi"/>
          <w:sz w:val="24"/>
          <w:szCs w:val="24"/>
        </w:rPr>
        <w:t xml:space="preserve"> </w:t>
      </w:r>
    </w:p>
    <w:p w14:paraId="6EF92AE4" w14:textId="7472EF21" w:rsidR="004973F9" w:rsidRPr="009B7AA1" w:rsidRDefault="004973F9" w:rsidP="009B7AA1">
      <w:pPr>
        <w:pStyle w:val="ListeParagraf"/>
        <w:numPr>
          <w:ilvl w:val="0"/>
          <w:numId w:val="3"/>
        </w:numPr>
        <w:jc w:val="both"/>
        <w:rPr>
          <w:rFonts w:cstheme="minorHAnsi"/>
          <w:sz w:val="24"/>
          <w:szCs w:val="24"/>
        </w:rPr>
      </w:pPr>
      <w:r w:rsidRPr="009B7AA1">
        <w:rPr>
          <w:rFonts w:cstheme="minorHAnsi"/>
          <w:sz w:val="24"/>
          <w:szCs w:val="24"/>
        </w:rPr>
        <w:t>Konteynerin 2023 yılında %25,6 olan payı 2024 yılında %27’ya-e çıkmış</w:t>
      </w:r>
      <w:r w:rsidR="009B7AA1" w:rsidRPr="009B7AA1">
        <w:rPr>
          <w:rFonts w:cstheme="minorHAnsi"/>
          <w:sz w:val="24"/>
          <w:szCs w:val="24"/>
        </w:rPr>
        <w:t>tır.</w:t>
      </w:r>
    </w:p>
    <w:p w14:paraId="3FA4EF8B" w14:textId="0AE43032" w:rsidR="009B46BA" w:rsidRPr="00EE754E" w:rsidRDefault="004973F9" w:rsidP="001948E4">
      <w:pPr>
        <w:pStyle w:val="ListeParagraf"/>
        <w:numPr>
          <w:ilvl w:val="0"/>
          <w:numId w:val="3"/>
        </w:numPr>
        <w:jc w:val="both"/>
        <w:rPr>
          <w:rFonts w:cstheme="minorHAnsi"/>
          <w:sz w:val="24"/>
          <w:szCs w:val="24"/>
        </w:rPr>
      </w:pPr>
      <w:r w:rsidRPr="009B7AA1">
        <w:rPr>
          <w:rFonts w:cstheme="minorHAnsi"/>
          <w:sz w:val="24"/>
          <w:szCs w:val="24"/>
        </w:rPr>
        <w:t xml:space="preserve">Araç </w:t>
      </w:r>
      <w:r w:rsidR="00380903">
        <w:rPr>
          <w:rFonts w:cstheme="minorHAnsi"/>
          <w:sz w:val="24"/>
          <w:szCs w:val="24"/>
        </w:rPr>
        <w:t xml:space="preserve">elleçlemelerinin </w:t>
      </w:r>
      <w:r w:rsidRPr="009B7AA1">
        <w:rPr>
          <w:rFonts w:cstheme="minorHAnsi"/>
          <w:sz w:val="24"/>
          <w:szCs w:val="24"/>
        </w:rPr>
        <w:t xml:space="preserve">2023 yılında %2,2 olan payı 2024 yılında yine aynı </w:t>
      </w:r>
      <w:r w:rsidR="00380903">
        <w:rPr>
          <w:rFonts w:cstheme="minorHAnsi"/>
          <w:sz w:val="24"/>
          <w:szCs w:val="24"/>
        </w:rPr>
        <w:t>oranda (</w:t>
      </w:r>
      <w:r w:rsidRPr="009B7AA1">
        <w:rPr>
          <w:rFonts w:cstheme="minorHAnsi"/>
          <w:sz w:val="24"/>
          <w:szCs w:val="24"/>
        </w:rPr>
        <w:t>%2,2</w:t>
      </w:r>
      <w:r w:rsidR="00380903">
        <w:rPr>
          <w:rFonts w:cstheme="minorHAnsi"/>
          <w:sz w:val="24"/>
          <w:szCs w:val="24"/>
        </w:rPr>
        <w:t>)</w:t>
      </w:r>
      <w:r w:rsidRPr="009B7AA1">
        <w:rPr>
          <w:rFonts w:cstheme="minorHAnsi"/>
          <w:sz w:val="24"/>
          <w:szCs w:val="24"/>
        </w:rPr>
        <w:t xml:space="preserve"> oranında kalmıştır.</w:t>
      </w:r>
    </w:p>
    <w:p w14:paraId="5EBC10AB" w14:textId="77777777" w:rsidR="001948E4" w:rsidRDefault="001948E4" w:rsidP="001948E4">
      <w:pPr>
        <w:rPr>
          <w:rFonts w:cstheme="minorHAnsi"/>
          <w:b/>
          <w:bCs/>
          <w:sz w:val="22"/>
          <w:szCs w:val="22"/>
          <w:u w:val="single"/>
        </w:rPr>
      </w:pPr>
    </w:p>
    <w:p w14:paraId="077A32C0" w14:textId="51F30814" w:rsidR="00523BD9" w:rsidRPr="003B740C" w:rsidRDefault="000938CE" w:rsidP="00E636E4">
      <w:pPr>
        <w:jc w:val="center"/>
        <w:rPr>
          <w:rFonts w:cstheme="minorHAnsi"/>
          <w:b/>
          <w:bCs/>
          <w:sz w:val="22"/>
          <w:szCs w:val="22"/>
        </w:rPr>
      </w:pPr>
      <w:r w:rsidRPr="003B740C">
        <w:rPr>
          <w:rFonts w:cstheme="minorHAnsi"/>
          <w:b/>
          <w:bCs/>
          <w:sz w:val="22"/>
          <w:szCs w:val="22"/>
          <w:u w:val="single"/>
        </w:rPr>
        <w:t>Grafik-2:</w:t>
      </w:r>
      <w:r w:rsidRPr="003B740C">
        <w:rPr>
          <w:rFonts w:cstheme="minorHAnsi"/>
          <w:sz w:val="22"/>
          <w:szCs w:val="22"/>
        </w:rPr>
        <w:t xml:space="preserve"> </w:t>
      </w:r>
      <w:r w:rsidRPr="003B740C">
        <w:rPr>
          <w:rFonts w:cstheme="minorHAnsi"/>
          <w:b/>
          <w:bCs/>
          <w:sz w:val="22"/>
          <w:szCs w:val="22"/>
        </w:rPr>
        <w:t>Kargı Tipi Bazında Elleçlenen Yüklerin Payları  (202</w:t>
      </w:r>
      <w:r w:rsidR="00E636E4" w:rsidRPr="003B740C">
        <w:rPr>
          <w:rFonts w:cstheme="minorHAnsi"/>
          <w:b/>
          <w:bCs/>
          <w:sz w:val="22"/>
          <w:szCs w:val="22"/>
        </w:rPr>
        <w:t>3</w:t>
      </w:r>
      <w:r w:rsidRPr="003B740C">
        <w:rPr>
          <w:rFonts w:cstheme="minorHAnsi"/>
          <w:b/>
          <w:bCs/>
          <w:sz w:val="22"/>
          <w:szCs w:val="22"/>
        </w:rPr>
        <w:t>)</w:t>
      </w:r>
    </w:p>
    <w:p w14:paraId="06DD83E4" w14:textId="3EF5C10B" w:rsidR="00523BD9" w:rsidRDefault="00BF68BD" w:rsidP="0046035E">
      <w:pPr>
        <w:jc w:val="center"/>
        <w:rPr>
          <w:rFonts w:cstheme="minorHAnsi"/>
        </w:rPr>
      </w:pPr>
      <w:r>
        <w:rPr>
          <w:noProof/>
        </w:rPr>
        <w:drawing>
          <wp:inline distT="0" distB="0" distL="0" distR="0" wp14:anchorId="74FB878D" wp14:editId="7EC249BD">
            <wp:extent cx="4854575" cy="2743200"/>
            <wp:effectExtent l="0" t="0" r="3175" b="0"/>
            <wp:docPr id="1216837280" name="Grafik 1">
              <a:extLst xmlns:a="http://schemas.openxmlformats.org/drawingml/2006/main">
                <a:ext uri="{FF2B5EF4-FFF2-40B4-BE49-F238E27FC236}">
                  <a16:creationId xmlns:a16="http://schemas.microsoft.com/office/drawing/2014/main" id="{A73213CC-6FE1-B767-0DEC-295493DF5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C48DE0" w14:textId="621464C9" w:rsidR="00523BD9" w:rsidRPr="003B740C" w:rsidRDefault="00E636E4" w:rsidP="00E636E4">
      <w:pPr>
        <w:jc w:val="center"/>
        <w:rPr>
          <w:rFonts w:cstheme="minorHAnsi"/>
          <w:b/>
          <w:bCs/>
          <w:sz w:val="22"/>
          <w:szCs w:val="22"/>
        </w:rPr>
      </w:pPr>
      <w:r w:rsidRPr="003B740C">
        <w:rPr>
          <w:rFonts w:cstheme="minorHAnsi"/>
          <w:b/>
          <w:bCs/>
          <w:sz w:val="22"/>
          <w:szCs w:val="22"/>
          <w:u w:val="single"/>
        </w:rPr>
        <w:t>Grafik-3:</w:t>
      </w:r>
      <w:r w:rsidRPr="003B740C">
        <w:rPr>
          <w:rFonts w:cstheme="minorHAnsi"/>
          <w:sz w:val="22"/>
          <w:szCs w:val="22"/>
        </w:rPr>
        <w:t xml:space="preserve"> </w:t>
      </w:r>
      <w:r w:rsidRPr="003B740C">
        <w:rPr>
          <w:rFonts w:cstheme="minorHAnsi"/>
          <w:b/>
          <w:bCs/>
          <w:sz w:val="22"/>
          <w:szCs w:val="22"/>
        </w:rPr>
        <w:t>Kargı Tipi Bazında Elleçlenen Yüklerin Payları  (2024)</w:t>
      </w:r>
    </w:p>
    <w:p w14:paraId="5E64FFDB" w14:textId="34228022" w:rsidR="00792322" w:rsidRPr="00E756F5" w:rsidRDefault="004100BE" w:rsidP="00E756F5">
      <w:pPr>
        <w:jc w:val="center"/>
        <w:rPr>
          <w:rFonts w:cstheme="minorHAnsi"/>
        </w:rPr>
      </w:pPr>
      <w:r>
        <w:rPr>
          <w:noProof/>
        </w:rPr>
        <w:drawing>
          <wp:inline distT="0" distB="0" distL="0" distR="0" wp14:anchorId="5D6826B8" wp14:editId="0F6EA71F">
            <wp:extent cx="4922087" cy="2743200"/>
            <wp:effectExtent l="0" t="0" r="12065" b="0"/>
            <wp:docPr id="986262260" name="Grafik 1">
              <a:extLst xmlns:a="http://schemas.openxmlformats.org/drawingml/2006/main">
                <a:ext uri="{FF2B5EF4-FFF2-40B4-BE49-F238E27FC236}">
                  <a16:creationId xmlns:a16="http://schemas.microsoft.com/office/drawing/2014/main" id="{2FADC197-8427-E1AC-1E72-20E9A4A75A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8FA398" w14:textId="77777777" w:rsidR="00792322" w:rsidRDefault="00792322" w:rsidP="00792322">
      <w:pPr>
        <w:pStyle w:val="ListeParagraf"/>
        <w:tabs>
          <w:tab w:val="left" w:pos="284"/>
        </w:tabs>
        <w:ind w:left="0"/>
        <w:jc w:val="both"/>
        <w:rPr>
          <w:rFonts w:ascii="Calibri" w:eastAsia="Times New Roman" w:hAnsi="Calibri" w:cs="Calibri"/>
          <w:b/>
          <w:bCs/>
          <w:color w:val="000000"/>
          <w:lang w:eastAsia="tr-TR"/>
        </w:rPr>
      </w:pPr>
    </w:p>
    <w:p w14:paraId="31CE5B53" w14:textId="70CAA472" w:rsidR="00792322" w:rsidRPr="00380903" w:rsidRDefault="00792322" w:rsidP="00792322">
      <w:pPr>
        <w:pStyle w:val="ListeParagraf"/>
        <w:numPr>
          <w:ilvl w:val="1"/>
          <w:numId w:val="1"/>
        </w:numPr>
        <w:tabs>
          <w:tab w:val="left" w:pos="567"/>
        </w:tabs>
        <w:ind w:left="0" w:firstLine="0"/>
        <w:jc w:val="both"/>
        <w:rPr>
          <w:rFonts w:cstheme="minorHAnsi"/>
          <w:b/>
          <w:bCs/>
          <w:sz w:val="24"/>
          <w:szCs w:val="24"/>
        </w:rPr>
      </w:pPr>
      <w:r w:rsidRPr="00380903">
        <w:rPr>
          <w:rFonts w:cstheme="minorHAnsi"/>
          <w:b/>
          <w:bCs/>
          <w:sz w:val="24"/>
          <w:szCs w:val="24"/>
        </w:rPr>
        <w:t>Bölgelere Göre Toplam Yükte Tonajlar ve Bölgelerin Payı</w:t>
      </w:r>
    </w:p>
    <w:p w14:paraId="016F1DB6" w14:textId="78AF09B6" w:rsidR="0005562D" w:rsidRPr="00380903" w:rsidRDefault="00A64E0C" w:rsidP="002F7083">
      <w:pPr>
        <w:jc w:val="both"/>
        <w:rPr>
          <w:rFonts w:cstheme="minorHAnsi"/>
          <w:sz w:val="24"/>
          <w:szCs w:val="24"/>
        </w:rPr>
      </w:pPr>
      <w:r w:rsidRPr="00380903">
        <w:rPr>
          <w:rFonts w:cstheme="minorHAnsi"/>
          <w:sz w:val="24"/>
          <w:szCs w:val="24"/>
        </w:rPr>
        <w:t xml:space="preserve">Limanlarda elleçlenen </w:t>
      </w:r>
      <w:r w:rsidR="000F14DC">
        <w:rPr>
          <w:rFonts w:cstheme="minorHAnsi"/>
          <w:sz w:val="24"/>
          <w:szCs w:val="24"/>
        </w:rPr>
        <w:t xml:space="preserve">Toplam Yüke </w:t>
      </w:r>
      <w:r w:rsidRPr="00380903">
        <w:rPr>
          <w:rFonts w:cstheme="minorHAnsi"/>
          <w:sz w:val="24"/>
          <w:szCs w:val="24"/>
        </w:rPr>
        <w:t>bölgeler açısından baktığımızda</w:t>
      </w:r>
      <w:r w:rsidR="00885399" w:rsidRPr="00380903">
        <w:rPr>
          <w:rFonts w:cstheme="minorHAnsi"/>
          <w:sz w:val="24"/>
          <w:szCs w:val="24"/>
        </w:rPr>
        <w:t xml:space="preserve"> 2023 yılında %40 olan Marmara </w:t>
      </w:r>
      <w:r w:rsidR="000F14DC">
        <w:rPr>
          <w:rFonts w:cstheme="minorHAnsi"/>
          <w:sz w:val="24"/>
          <w:szCs w:val="24"/>
        </w:rPr>
        <w:t>b</w:t>
      </w:r>
      <w:r w:rsidR="00885399" w:rsidRPr="00380903">
        <w:rPr>
          <w:rFonts w:cstheme="minorHAnsi"/>
          <w:sz w:val="24"/>
          <w:szCs w:val="24"/>
        </w:rPr>
        <w:t xml:space="preserve">ölgesinin payı </w:t>
      </w:r>
      <w:r w:rsidR="004273AA" w:rsidRPr="00380903">
        <w:rPr>
          <w:rFonts w:cstheme="minorHAnsi"/>
          <w:sz w:val="24"/>
          <w:szCs w:val="24"/>
        </w:rPr>
        <w:t xml:space="preserve">2024 yılında da (%40) </w:t>
      </w:r>
      <w:r w:rsidR="00885399" w:rsidRPr="00380903">
        <w:rPr>
          <w:rFonts w:cstheme="minorHAnsi"/>
          <w:sz w:val="24"/>
          <w:szCs w:val="24"/>
        </w:rPr>
        <w:t>değişmezken</w:t>
      </w:r>
      <w:r w:rsidR="003120A5" w:rsidRPr="00380903">
        <w:rPr>
          <w:rFonts w:cstheme="minorHAnsi"/>
          <w:sz w:val="24"/>
          <w:szCs w:val="24"/>
        </w:rPr>
        <w:t>,</w:t>
      </w:r>
      <w:r w:rsidR="00885399" w:rsidRPr="00380903">
        <w:rPr>
          <w:rFonts w:cstheme="minorHAnsi"/>
          <w:sz w:val="24"/>
          <w:szCs w:val="24"/>
        </w:rPr>
        <w:t xml:space="preserve"> </w:t>
      </w:r>
      <w:r w:rsidR="004273AA" w:rsidRPr="00380903">
        <w:rPr>
          <w:rFonts w:cstheme="minorHAnsi"/>
          <w:sz w:val="24"/>
          <w:szCs w:val="24"/>
        </w:rPr>
        <w:t xml:space="preserve">2023 yılında %33 olan </w:t>
      </w:r>
      <w:r w:rsidR="00885399" w:rsidRPr="00380903">
        <w:rPr>
          <w:rFonts w:cstheme="minorHAnsi"/>
          <w:sz w:val="24"/>
          <w:szCs w:val="24"/>
        </w:rPr>
        <w:t>Akdeniz</w:t>
      </w:r>
      <w:r w:rsidR="004273AA" w:rsidRPr="00380903">
        <w:rPr>
          <w:rFonts w:cstheme="minorHAnsi"/>
          <w:sz w:val="24"/>
          <w:szCs w:val="24"/>
        </w:rPr>
        <w:t xml:space="preserve"> </w:t>
      </w:r>
      <w:r w:rsidR="000F14DC">
        <w:rPr>
          <w:rFonts w:cstheme="minorHAnsi"/>
          <w:sz w:val="24"/>
          <w:szCs w:val="24"/>
        </w:rPr>
        <w:t>b</w:t>
      </w:r>
      <w:r w:rsidR="004273AA" w:rsidRPr="00380903">
        <w:rPr>
          <w:rFonts w:cstheme="minorHAnsi"/>
          <w:sz w:val="24"/>
          <w:szCs w:val="24"/>
        </w:rPr>
        <w:t xml:space="preserve">ölgesinin payı </w:t>
      </w:r>
      <w:r w:rsidR="00885399" w:rsidRPr="00380903">
        <w:rPr>
          <w:rFonts w:cstheme="minorHAnsi"/>
          <w:sz w:val="24"/>
          <w:szCs w:val="24"/>
        </w:rPr>
        <w:t>202</w:t>
      </w:r>
      <w:r w:rsidR="00830F82" w:rsidRPr="00380903">
        <w:rPr>
          <w:rFonts w:cstheme="minorHAnsi"/>
          <w:sz w:val="24"/>
          <w:szCs w:val="24"/>
        </w:rPr>
        <w:t>4 yılında %31’</w:t>
      </w:r>
      <w:r w:rsidR="003120A5" w:rsidRPr="00380903">
        <w:rPr>
          <w:rFonts w:cstheme="minorHAnsi"/>
          <w:sz w:val="24"/>
          <w:szCs w:val="24"/>
        </w:rPr>
        <w:t>e</w:t>
      </w:r>
      <w:r w:rsidR="00830F82" w:rsidRPr="00380903">
        <w:rPr>
          <w:rFonts w:cstheme="minorHAnsi"/>
          <w:sz w:val="24"/>
          <w:szCs w:val="24"/>
        </w:rPr>
        <w:t xml:space="preserve"> düşmüştür. Bu düşüşün iki önemli </w:t>
      </w:r>
      <w:r w:rsidR="00C75A51" w:rsidRPr="00380903">
        <w:rPr>
          <w:rFonts w:cstheme="minorHAnsi"/>
          <w:sz w:val="24"/>
          <w:szCs w:val="24"/>
        </w:rPr>
        <w:t xml:space="preserve">nedeni </w:t>
      </w:r>
      <w:r w:rsidR="00830F82" w:rsidRPr="00380903">
        <w:rPr>
          <w:rFonts w:cstheme="minorHAnsi"/>
          <w:sz w:val="24"/>
          <w:szCs w:val="24"/>
        </w:rPr>
        <w:t xml:space="preserve">bulunmaktadır. Bunlardan ilki </w:t>
      </w:r>
      <w:r w:rsidR="00C75A51" w:rsidRPr="00380903">
        <w:rPr>
          <w:rFonts w:cstheme="minorHAnsi"/>
          <w:sz w:val="24"/>
          <w:szCs w:val="24"/>
        </w:rPr>
        <w:t xml:space="preserve">6 Şubat 2023'teki Kahramanmaraş merkezli deprem Akdeniz </w:t>
      </w:r>
      <w:r w:rsidR="000F14DC">
        <w:rPr>
          <w:rFonts w:cstheme="minorHAnsi"/>
          <w:sz w:val="24"/>
          <w:szCs w:val="24"/>
        </w:rPr>
        <w:t>b</w:t>
      </w:r>
      <w:r w:rsidR="00C75A51" w:rsidRPr="00380903">
        <w:rPr>
          <w:rFonts w:cstheme="minorHAnsi"/>
          <w:sz w:val="24"/>
          <w:szCs w:val="24"/>
        </w:rPr>
        <w:t>ölgesinde</w:t>
      </w:r>
      <w:r w:rsidR="009F7EAF">
        <w:rPr>
          <w:rFonts w:cstheme="minorHAnsi"/>
          <w:sz w:val="24"/>
          <w:szCs w:val="24"/>
        </w:rPr>
        <w:t xml:space="preserve">, özellikle İskenderun Körfezi içinde faaliyette olan </w:t>
      </w:r>
      <w:r w:rsidR="00C75A51" w:rsidRPr="00380903">
        <w:rPr>
          <w:rFonts w:cstheme="minorHAnsi"/>
          <w:sz w:val="24"/>
          <w:szCs w:val="24"/>
        </w:rPr>
        <w:t>limanları</w:t>
      </w:r>
      <w:r w:rsidR="009F7EAF">
        <w:rPr>
          <w:rFonts w:cstheme="minorHAnsi"/>
          <w:sz w:val="24"/>
          <w:szCs w:val="24"/>
        </w:rPr>
        <w:t xml:space="preserve"> etkilemiş olmasıdır. Yine </w:t>
      </w:r>
      <w:r w:rsidR="00902AC3">
        <w:rPr>
          <w:rFonts w:cstheme="minorHAnsi"/>
          <w:sz w:val="24"/>
          <w:szCs w:val="24"/>
        </w:rPr>
        <w:t xml:space="preserve">depremden etkilenen illere baktığımızda bu bölgedeki sanayi ve ticari işletmelerin </w:t>
      </w:r>
      <w:r w:rsidR="00C75A51" w:rsidRPr="00380903">
        <w:rPr>
          <w:rFonts w:cstheme="minorHAnsi"/>
          <w:sz w:val="24"/>
          <w:szCs w:val="24"/>
        </w:rPr>
        <w:t>İskenderun</w:t>
      </w:r>
      <w:r w:rsidR="00902AC3">
        <w:rPr>
          <w:rFonts w:cstheme="minorHAnsi"/>
          <w:sz w:val="24"/>
          <w:szCs w:val="24"/>
        </w:rPr>
        <w:t xml:space="preserve"> </w:t>
      </w:r>
      <w:r w:rsidR="00902AC3">
        <w:rPr>
          <w:rFonts w:cstheme="minorHAnsi"/>
          <w:sz w:val="24"/>
          <w:szCs w:val="24"/>
        </w:rPr>
        <w:lastRenderedPageBreak/>
        <w:t xml:space="preserve">Körfezi’nden Mersin’e kadar </w:t>
      </w:r>
      <w:r w:rsidR="00B65EDC">
        <w:rPr>
          <w:rFonts w:cstheme="minorHAnsi"/>
          <w:sz w:val="24"/>
          <w:szCs w:val="24"/>
        </w:rPr>
        <w:t xml:space="preserve">bölgede yer alan limanları kullandığı bilinmektedir. Deprem bile birlikte bu bölgede yer alan limanların </w:t>
      </w:r>
      <w:r w:rsidR="00C75A51" w:rsidRPr="00380903">
        <w:rPr>
          <w:rFonts w:cstheme="minorHAnsi"/>
          <w:sz w:val="24"/>
          <w:szCs w:val="24"/>
        </w:rPr>
        <w:t>hinterlandında</w:t>
      </w:r>
      <w:r w:rsidR="00925BCC">
        <w:rPr>
          <w:rFonts w:cstheme="minorHAnsi"/>
          <w:sz w:val="24"/>
          <w:szCs w:val="24"/>
        </w:rPr>
        <w:t xml:space="preserve">ki </w:t>
      </w:r>
      <w:r w:rsidR="006B1CB0" w:rsidRPr="00380903">
        <w:rPr>
          <w:rFonts w:cstheme="minorHAnsi"/>
          <w:sz w:val="24"/>
          <w:szCs w:val="24"/>
        </w:rPr>
        <w:t>sanayi ve ticaret</w:t>
      </w:r>
      <w:r w:rsidR="00925BCC">
        <w:rPr>
          <w:rFonts w:cstheme="minorHAnsi"/>
          <w:sz w:val="24"/>
          <w:szCs w:val="24"/>
        </w:rPr>
        <w:t xml:space="preserve"> faaliyetlerin </w:t>
      </w:r>
      <w:r w:rsidR="006B1CB0" w:rsidRPr="00380903">
        <w:rPr>
          <w:rFonts w:cstheme="minorHAnsi"/>
          <w:sz w:val="24"/>
          <w:szCs w:val="24"/>
        </w:rPr>
        <w:t xml:space="preserve">toparlanması ve </w:t>
      </w:r>
      <w:r w:rsidR="008931E8" w:rsidRPr="00380903">
        <w:rPr>
          <w:rFonts w:cstheme="minorHAnsi"/>
          <w:sz w:val="24"/>
          <w:szCs w:val="24"/>
        </w:rPr>
        <w:t xml:space="preserve">normalleşme süreci hala devam etmektedir. </w:t>
      </w:r>
      <w:r w:rsidR="00815405" w:rsidRPr="00380903">
        <w:rPr>
          <w:rFonts w:cstheme="minorHAnsi"/>
          <w:sz w:val="24"/>
          <w:szCs w:val="24"/>
        </w:rPr>
        <w:t xml:space="preserve">Depremden en fazla İskenderun ve Ceyhan liman başkanlığı sınırları içindeki liman tesisleri etkilenmiştir. </w:t>
      </w:r>
      <w:r w:rsidR="003F0EF2" w:rsidRPr="00380903">
        <w:rPr>
          <w:rFonts w:cstheme="minorHAnsi"/>
          <w:sz w:val="24"/>
          <w:szCs w:val="24"/>
        </w:rPr>
        <w:t xml:space="preserve">İskenderun liman başkanlığı 2022 yılında </w:t>
      </w:r>
      <w:r w:rsidR="00F96588" w:rsidRPr="00380903">
        <w:rPr>
          <w:rFonts w:cstheme="minorHAnsi"/>
          <w:sz w:val="24"/>
          <w:szCs w:val="24"/>
        </w:rPr>
        <w:t xml:space="preserve">sadece </w:t>
      </w:r>
      <w:r w:rsidR="003F0EF2" w:rsidRPr="00380903">
        <w:rPr>
          <w:rFonts w:cstheme="minorHAnsi"/>
          <w:sz w:val="24"/>
          <w:szCs w:val="24"/>
        </w:rPr>
        <w:t>%</w:t>
      </w:r>
      <w:r w:rsidR="00F96588" w:rsidRPr="00380903">
        <w:rPr>
          <w:rFonts w:cstheme="minorHAnsi"/>
          <w:sz w:val="24"/>
          <w:szCs w:val="24"/>
        </w:rPr>
        <w:t xml:space="preserve">0,26 </w:t>
      </w:r>
      <w:r w:rsidR="003F0EF2" w:rsidRPr="00380903">
        <w:rPr>
          <w:rFonts w:cstheme="minorHAnsi"/>
          <w:sz w:val="24"/>
          <w:szCs w:val="24"/>
        </w:rPr>
        <w:t xml:space="preserve">oranında </w:t>
      </w:r>
      <w:r w:rsidR="00F96588" w:rsidRPr="00380903">
        <w:rPr>
          <w:rFonts w:cstheme="minorHAnsi"/>
          <w:sz w:val="24"/>
          <w:szCs w:val="24"/>
        </w:rPr>
        <w:t xml:space="preserve">küçülmüşken </w:t>
      </w:r>
      <w:r w:rsidR="003F0EF2" w:rsidRPr="00380903">
        <w:rPr>
          <w:rFonts w:cstheme="minorHAnsi"/>
          <w:sz w:val="24"/>
          <w:szCs w:val="24"/>
        </w:rPr>
        <w:t>depremin de etkisiyle 2023 yılı sonunda %</w:t>
      </w:r>
      <w:r w:rsidR="00FE541A" w:rsidRPr="00380903">
        <w:rPr>
          <w:rFonts w:cstheme="minorHAnsi"/>
          <w:sz w:val="24"/>
          <w:szCs w:val="24"/>
        </w:rPr>
        <w:t xml:space="preserve">5,75 </w:t>
      </w:r>
      <w:r w:rsidR="003F0EF2" w:rsidRPr="00380903">
        <w:rPr>
          <w:rFonts w:cstheme="minorHAnsi"/>
          <w:sz w:val="24"/>
          <w:szCs w:val="24"/>
        </w:rPr>
        <w:t>oranında küçülmüştür.</w:t>
      </w:r>
      <w:r w:rsidR="00FE541A" w:rsidRPr="00380903">
        <w:rPr>
          <w:rFonts w:cstheme="minorHAnsi"/>
          <w:sz w:val="24"/>
          <w:szCs w:val="24"/>
        </w:rPr>
        <w:t xml:space="preserve"> </w:t>
      </w:r>
      <w:r w:rsidR="00C67771" w:rsidRPr="00380903">
        <w:rPr>
          <w:rFonts w:cstheme="minorHAnsi"/>
          <w:sz w:val="24"/>
          <w:szCs w:val="24"/>
        </w:rPr>
        <w:t>Ceyhan liman başkanlığı 2022 yılında %</w:t>
      </w:r>
      <w:r w:rsidR="00635100" w:rsidRPr="00380903">
        <w:rPr>
          <w:rFonts w:cstheme="minorHAnsi"/>
          <w:sz w:val="24"/>
          <w:szCs w:val="24"/>
        </w:rPr>
        <w:t xml:space="preserve">7,93 oranında büyürken depremin de etkisiyle 2023 yılı sonunda </w:t>
      </w:r>
      <w:r w:rsidR="0076059D" w:rsidRPr="00380903">
        <w:rPr>
          <w:rFonts w:cstheme="minorHAnsi"/>
          <w:sz w:val="24"/>
          <w:szCs w:val="24"/>
        </w:rPr>
        <w:t>2023 yılı sonu</w:t>
      </w:r>
      <w:r w:rsidR="00725305" w:rsidRPr="00380903">
        <w:rPr>
          <w:rFonts w:cstheme="minorHAnsi"/>
          <w:sz w:val="24"/>
          <w:szCs w:val="24"/>
        </w:rPr>
        <w:t>n</w:t>
      </w:r>
      <w:r w:rsidR="0076059D" w:rsidRPr="00380903">
        <w:rPr>
          <w:rFonts w:cstheme="minorHAnsi"/>
          <w:sz w:val="24"/>
          <w:szCs w:val="24"/>
        </w:rPr>
        <w:t xml:space="preserve">da </w:t>
      </w:r>
      <w:r w:rsidR="0007479A" w:rsidRPr="00380903">
        <w:rPr>
          <w:rFonts w:cstheme="minorHAnsi"/>
          <w:sz w:val="24"/>
          <w:szCs w:val="24"/>
        </w:rPr>
        <w:t>%</w:t>
      </w:r>
      <w:r w:rsidR="00897031" w:rsidRPr="00380903">
        <w:rPr>
          <w:rFonts w:cstheme="minorHAnsi"/>
          <w:sz w:val="24"/>
          <w:szCs w:val="24"/>
        </w:rPr>
        <w:t xml:space="preserve">23,68 oranında küçülmüştür. </w:t>
      </w:r>
      <w:r w:rsidR="0007479A" w:rsidRPr="00380903">
        <w:rPr>
          <w:rFonts w:cstheme="minorHAnsi"/>
          <w:sz w:val="24"/>
          <w:szCs w:val="24"/>
        </w:rPr>
        <w:t>Ceyhan liman</w:t>
      </w:r>
      <w:r w:rsidR="00FE541A" w:rsidRPr="00380903">
        <w:rPr>
          <w:rFonts w:cstheme="minorHAnsi"/>
          <w:sz w:val="24"/>
          <w:szCs w:val="24"/>
        </w:rPr>
        <w:t xml:space="preserve"> başkanlığındaki bu büyük ö</w:t>
      </w:r>
      <w:r w:rsidR="00640A82" w:rsidRPr="00380903">
        <w:rPr>
          <w:rFonts w:cstheme="minorHAnsi"/>
          <w:sz w:val="24"/>
          <w:szCs w:val="24"/>
        </w:rPr>
        <w:t>lçekli d</w:t>
      </w:r>
      <w:r w:rsidR="00725305" w:rsidRPr="00380903">
        <w:rPr>
          <w:rFonts w:cstheme="minorHAnsi"/>
          <w:sz w:val="24"/>
          <w:szCs w:val="24"/>
        </w:rPr>
        <w:t xml:space="preserve">üşüşün diğer bir nedeni de </w:t>
      </w:r>
      <w:r w:rsidR="00D75A7A">
        <w:rPr>
          <w:rFonts w:cstheme="minorHAnsi"/>
          <w:sz w:val="24"/>
          <w:szCs w:val="24"/>
        </w:rPr>
        <w:t xml:space="preserve">yukarıda da belirttiğimiz gibi </w:t>
      </w:r>
      <w:r w:rsidR="002F7083" w:rsidRPr="00380903">
        <w:rPr>
          <w:rFonts w:cstheme="minorHAnsi"/>
          <w:sz w:val="24"/>
          <w:szCs w:val="24"/>
        </w:rPr>
        <w:t xml:space="preserve">Ceyhan liman başkanlığı sınırlarında bulunan </w:t>
      </w:r>
      <w:r w:rsidR="00640A82" w:rsidRPr="00380903">
        <w:rPr>
          <w:rFonts w:cstheme="minorHAnsi"/>
          <w:sz w:val="24"/>
          <w:szCs w:val="24"/>
        </w:rPr>
        <w:t xml:space="preserve">transit hampetrol boru hattı </w:t>
      </w:r>
      <w:r w:rsidR="002F7083" w:rsidRPr="00380903">
        <w:rPr>
          <w:rFonts w:cstheme="minorHAnsi"/>
          <w:sz w:val="24"/>
          <w:szCs w:val="24"/>
        </w:rPr>
        <w:t>terminallerinde</w:t>
      </w:r>
      <w:r w:rsidR="00D75A7A">
        <w:rPr>
          <w:rFonts w:cstheme="minorHAnsi"/>
          <w:sz w:val="24"/>
          <w:szCs w:val="24"/>
        </w:rPr>
        <w:t>ki</w:t>
      </w:r>
      <w:r w:rsidR="00640A82" w:rsidRPr="00380903">
        <w:rPr>
          <w:rFonts w:cstheme="minorHAnsi"/>
          <w:sz w:val="24"/>
          <w:szCs w:val="24"/>
        </w:rPr>
        <w:t xml:space="preserve"> </w:t>
      </w:r>
      <w:r w:rsidR="0005562D" w:rsidRPr="00380903">
        <w:rPr>
          <w:rFonts w:cstheme="minorHAnsi"/>
          <w:sz w:val="24"/>
          <w:szCs w:val="24"/>
        </w:rPr>
        <w:t xml:space="preserve">düşen </w:t>
      </w:r>
      <w:r w:rsidR="00640A82" w:rsidRPr="00380903">
        <w:rPr>
          <w:rFonts w:cstheme="minorHAnsi"/>
          <w:sz w:val="24"/>
          <w:szCs w:val="24"/>
        </w:rPr>
        <w:t xml:space="preserve">yük miktarları olmuştur. </w:t>
      </w:r>
      <w:r w:rsidR="0005562D" w:rsidRPr="00380903">
        <w:rPr>
          <w:rFonts w:cstheme="minorHAnsi"/>
          <w:sz w:val="24"/>
          <w:szCs w:val="24"/>
        </w:rPr>
        <w:t xml:space="preserve"> </w:t>
      </w:r>
    </w:p>
    <w:p w14:paraId="59327AE3" w14:textId="3E40C0E3" w:rsidR="00792322" w:rsidRPr="00C17F5A" w:rsidRDefault="00BC3E73" w:rsidP="00590583">
      <w:pPr>
        <w:jc w:val="center"/>
        <w:rPr>
          <w:rFonts w:cstheme="minorHAnsi"/>
          <w:b/>
          <w:bCs/>
          <w:sz w:val="22"/>
          <w:szCs w:val="22"/>
        </w:rPr>
      </w:pPr>
      <w:r w:rsidRPr="00C17F5A">
        <w:rPr>
          <w:rFonts w:cstheme="minorHAnsi"/>
          <w:b/>
          <w:bCs/>
          <w:sz w:val="22"/>
          <w:szCs w:val="22"/>
          <w:u w:val="single"/>
        </w:rPr>
        <w:t>Tablo-</w:t>
      </w:r>
      <w:r w:rsidR="00E756F5" w:rsidRPr="00C17F5A">
        <w:rPr>
          <w:rFonts w:cstheme="minorHAnsi"/>
          <w:b/>
          <w:bCs/>
          <w:sz w:val="22"/>
          <w:szCs w:val="22"/>
          <w:u w:val="single"/>
        </w:rPr>
        <w:t>10</w:t>
      </w:r>
      <w:r w:rsidRPr="00C17F5A">
        <w:rPr>
          <w:rFonts w:cstheme="minorHAnsi"/>
          <w:b/>
          <w:bCs/>
          <w:sz w:val="22"/>
          <w:szCs w:val="22"/>
          <w:u w:val="single"/>
        </w:rPr>
        <w:t>:</w:t>
      </w:r>
      <w:r w:rsidRPr="00C17F5A">
        <w:rPr>
          <w:rFonts w:cstheme="minorHAnsi"/>
          <w:sz w:val="22"/>
          <w:szCs w:val="22"/>
        </w:rPr>
        <w:t xml:space="preserve"> </w:t>
      </w:r>
      <w:r w:rsidR="00590583" w:rsidRPr="00C17F5A">
        <w:rPr>
          <w:rFonts w:eastAsia="Times New Roman" w:cs="Calibri"/>
          <w:b/>
          <w:bCs/>
          <w:color w:val="000000"/>
          <w:sz w:val="22"/>
          <w:szCs w:val="22"/>
          <w:lang w:eastAsia="tr-TR"/>
        </w:rPr>
        <w:t xml:space="preserve">Bölgelere Göre </w:t>
      </w:r>
      <w:r w:rsidRPr="00C17F5A">
        <w:rPr>
          <w:rFonts w:eastAsia="Times New Roman" w:cs="Calibri"/>
          <w:b/>
          <w:bCs/>
          <w:color w:val="000000"/>
          <w:sz w:val="22"/>
          <w:szCs w:val="22"/>
          <w:lang w:eastAsia="tr-TR"/>
        </w:rPr>
        <w:t xml:space="preserve">Toplam Yükte </w:t>
      </w:r>
      <w:r w:rsidR="00590583" w:rsidRPr="00C17F5A">
        <w:rPr>
          <w:rFonts w:eastAsia="Times New Roman" w:cs="Calibri"/>
          <w:b/>
          <w:bCs/>
          <w:color w:val="000000"/>
          <w:sz w:val="22"/>
          <w:szCs w:val="22"/>
          <w:lang w:eastAsia="tr-TR"/>
        </w:rPr>
        <w:t xml:space="preserve">Tonajlar ve Bölge </w:t>
      </w:r>
      <w:r w:rsidRPr="00C17F5A">
        <w:rPr>
          <w:rFonts w:eastAsia="Times New Roman" w:cs="Calibri"/>
          <w:b/>
          <w:bCs/>
          <w:color w:val="000000"/>
          <w:sz w:val="22"/>
          <w:szCs w:val="22"/>
          <w:lang w:eastAsia="tr-TR"/>
        </w:rPr>
        <w:t>Payı</w:t>
      </w:r>
      <w:r w:rsidRPr="00C17F5A">
        <w:rPr>
          <w:rFonts w:cstheme="minorHAnsi"/>
          <w:b/>
          <w:bCs/>
          <w:sz w:val="22"/>
          <w:szCs w:val="22"/>
        </w:rPr>
        <w:t xml:space="preserve"> (2023-2024)</w:t>
      </w:r>
    </w:p>
    <w:tbl>
      <w:tblPr>
        <w:tblW w:w="75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00"/>
        <w:gridCol w:w="1211"/>
        <w:gridCol w:w="1197"/>
        <w:gridCol w:w="1339"/>
        <w:gridCol w:w="1435"/>
        <w:gridCol w:w="1198"/>
      </w:tblGrid>
      <w:tr w:rsidR="00792322" w:rsidRPr="00232DFE" w14:paraId="6DC0A20C" w14:textId="77777777" w:rsidTr="003120A5">
        <w:trPr>
          <w:trHeight w:val="613"/>
          <w:jc w:val="center"/>
        </w:trPr>
        <w:tc>
          <w:tcPr>
            <w:tcW w:w="1200" w:type="dxa"/>
            <w:shd w:val="clear" w:color="000000" w:fill="FFFF00"/>
            <w:vAlign w:val="center"/>
            <w:hideMark/>
          </w:tcPr>
          <w:p w14:paraId="2B21CA5C" w14:textId="77777777" w:rsidR="00792322" w:rsidRPr="00232DFE" w:rsidRDefault="00792322">
            <w:pPr>
              <w:spacing w:after="0" w:line="240" w:lineRule="auto"/>
              <w:jc w:val="center"/>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Bölge</w:t>
            </w:r>
          </w:p>
        </w:tc>
        <w:tc>
          <w:tcPr>
            <w:tcW w:w="1200" w:type="dxa"/>
            <w:shd w:val="clear" w:color="000000" w:fill="FFFF00"/>
            <w:vAlign w:val="center"/>
            <w:hideMark/>
          </w:tcPr>
          <w:p w14:paraId="4A5CF5C0" w14:textId="77777777" w:rsidR="00792322" w:rsidRPr="00232DFE" w:rsidRDefault="00792322">
            <w:pPr>
              <w:spacing w:after="0" w:line="240" w:lineRule="auto"/>
              <w:jc w:val="center"/>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2023 Tonaj (Ton)</w:t>
            </w:r>
          </w:p>
        </w:tc>
        <w:tc>
          <w:tcPr>
            <w:tcW w:w="1200" w:type="dxa"/>
            <w:shd w:val="clear" w:color="000000" w:fill="FFFF00"/>
            <w:vAlign w:val="center"/>
            <w:hideMark/>
          </w:tcPr>
          <w:p w14:paraId="6B4CA7C8" w14:textId="34CFEC6E" w:rsidR="00792322" w:rsidRPr="00232DFE" w:rsidRDefault="00792322">
            <w:pPr>
              <w:spacing w:after="0" w:line="240" w:lineRule="auto"/>
              <w:jc w:val="center"/>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2023 Payı</w:t>
            </w:r>
          </w:p>
        </w:tc>
        <w:tc>
          <w:tcPr>
            <w:tcW w:w="1340" w:type="dxa"/>
            <w:shd w:val="clear" w:color="000000" w:fill="FFFF00"/>
            <w:vAlign w:val="center"/>
            <w:hideMark/>
          </w:tcPr>
          <w:p w14:paraId="76CD861C" w14:textId="77777777" w:rsidR="00792322" w:rsidRPr="00232DFE" w:rsidRDefault="00792322">
            <w:pPr>
              <w:spacing w:after="0" w:line="240" w:lineRule="auto"/>
              <w:jc w:val="center"/>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2024 Tonaj (Ton)</w:t>
            </w:r>
          </w:p>
        </w:tc>
        <w:tc>
          <w:tcPr>
            <w:tcW w:w="1440" w:type="dxa"/>
            <w:shd w:val="clear" w:color="000000" w:fill="FFFF00"/>
            <w:vAlign w:val="center"/>
            <w:hideMark/>
          </w:tcPr>
          <w:p w14:paraId="459ED416" w14:textId="27AE0A29" w:rsidR="00792322" w:rsidRPr="00232DFE" w:rsidRDefault="00792322">
            <w:pPr>
              <w:spacing w:after="0" w:line="240" w:lineRule="auto"/>
              <w:jc w:val="center"/>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2024 Payı</w:t>
            </w:r>
          </w:p>
        </w:tc>
        <w:tc>
          <w:tcPr>
            <w:tcW w:w="1200" w:type="dxa"/>
            <w:shd w:val="clear" w:color="000000" w:fill="FFFF00"/>
            <w:vAlign w:val="center"/>
            <w:hideMark/>
          </w:tcPr>
          <w:p w14:paraId="793B29D4" w14:textId="77777777" w:rsidR="00792322" w:rsidRPr="00232DFE" w:rsidRDefault="00792322">
            <w:pPr>
              <w:spacing w:after="0" w:line="240" w:lineRule="auto"/>
              <w:jc w:val="center"/>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2023-2024 Değişim</w:t>
            </w:r>
          </w:p>
        </w:tc>
      </w:tr>
      <w:tr w:rsidR="00792322" w:rsidRPr="00232DFE" w14:paraId="2C288E99" w14:textId="77777777" w:rsidTr="003120A5">
        <w:trPr>
          <w:trHeight w:val="300"/>
          <w:jc w:val="center"/>
        </w:trPr>
        <w:tc>
          <w:tcPr>
            <w:tcW w:w="1200" w:type="dxa"/>
            <w:shd w:val="clear" w:color="auto" w:fill="auto"/>
            <w:vAlign w:val="center"/>
            <w:hideMark/>
          </w:tcPr>
          <w:p w14:paraId="1215A644" w14:textId="77777777" w:rsidR="00792322" w:rsidRPr="002A03B0" w:rsidRDefault="00792322">
            <w:pPr>
              <w:spacing w:after="0" w:line="240" w:lineRule="auto"/>
              <w:jc w:val="both"/>
              <w:rPr>
                <w:rFonts w:ascii="Calibri" w:eastAsia="Times New Roman" w:hAnsi="Calibri" w:cs="Calibri"/>
                <w:color w:val="000000"/>
                <w:lang w:eastAsia="tr-TR"/>
              </w:rPr>
            </w:pPr>
            <w:r w:rsidRPr="002A03B0">
              <w:rPr>
                <w:rFonts w:ascii="Calibri" w:eastAsia="Times New Roman" w:hAnsi="Calibri" w:cs="Calibri"/>
                <w:color w:val="000000"/>
                <w:lang w:eastAsia="tr-TR"/>
              </w:rPr>
              <w:t>MARMARA</w:t>
            </w:r>
          </w:p>
        </w:tc>
        <w:tc>
          <w:tcPr>
            <w:tcW w:w="1200" w:type="dxa"/>
            <w:shd w:val="clear" w:color="auto" w:fill="auto"/>
            <w:vAlign w:val="center"/>
            <w:hideMark/>
          </w:tcPr>
          <w:p w14:paraId="63983493"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210.196.062</w:t>
            </w:r>
          </w:p>
        </w:tc>
        <w:tc>
          <w:tcPr>
            <w:tcW w:w="1200" w:type="dxa"/>
            <w:shd w:val="clear" w:color="auto" w:fill="auto"/>
            <w:vAlign w:val="center"/>
            <w:hideMark/>
          </w:tcPr>
          <w:p w14:paraId="6125DC3E"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theme="minorHAnsi"/>
                <w:color w:val="000000"/>
                <w:lang w:eastAsia="tr-TR"/>
              </w:rPr>
              <w:t>40%</w:t>
            </w:r>
          </w:p>
        </w:tc>
        <w:tc>
          <w:tcPr>
            <w:tcW w:w="1340" w:type="dxa"/>
            <w:shd w:val="clear" w:color="auto" w:fill="auto"/>
            <w:vAlign w:val="center"/>
            <w:hideMark/>
          </w:tcPr>
          <w:p w14:paraId="047F257F"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215.274.899</w:t>
            </w:r>
          </w:p>
        </w:tc>
        <w:tc>
          <w:tcPr>
            <w:tcW w:w="1440" w:type="dxa"/>
            <w:shd w:val="clear" w:color="auto" w:fill="auto"/>
            <w:vAlign w:val="center"/>
            <w:hideMark/>
          </w:tcPr>
          <w:p w14:paraId="1CCE2CFD"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40%</w:t>
            </w:r>
          </w:p>
        </w:tc>
        <w:tc>
          <w:tcPr>
            <w:tcW w:w="1200" w:type="dxa"/>
            <w:shd w:val="clear" w:color="auto" w:fill="auto"/>
            <w:vAlign w:val="center"/>
            <w:hideMark/>
          </w:tcPr>
          <w:p w14:paraId="2CA0B410"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2%</w:t>
            </w:r>
          </w:p>
        </w:tc>
      </w:tr>
      <w:tr w:rsidR="00792322" w:rsidRPr="00232DFE" w14:paraId="321153B7" w14:textId="77777777" w:rsidTr="003120A5">
        <w:trPr>
          <w:trHeight w:val="300"/>
          <w:jc w:val="center"/>
        </w:trPr>
        <w:tc>
          <w:tcPr>
            <w:tcW w:w="1200" w:type="dxa"/>
            <w:shd w:val="clear" w:color="auto" w:fill="auto"/>
            <w:vAlign w:val="center"/>
            <w:hideMark/>
          </w:tcPr>
          <w:p w14:paraId="2AF353AF" w14:textId="77777777" w:rsidR="00792322" w:rsidRPr="002A03B0" w:rsidRDefault="00792322">
            <w:pPr>
              <w:spacing w:after="0" w:line="240" w:lineRule="auto"/>
              <w:jc w:val="both"/>
              <w:rPr>
                <w:rFonts w:ascii="Calibri" w:eastAsia="Times New Roman" w:hAnsi="Calibri" w:cs="Calibri"/>
                <w:color w:val="000000"/>
                <w:lang w:eastAsia="tr-TR"/>
              </w:rPr>
            </w:pPr>
            <w:r w:rsidRPr="002A03B0">
              <w:rPr>
                <w:rFonts w:ascii="Calibri" w:eastAsia="Times New Roman" w:hAnsi="Calibri" w:cs="Calibri"/>
                <w:color w:val="000000"/>
                <w:lang w:eastAsia="tr-TR"/>
              </w:rPr>
              <w:t>AKDENİZ</w:t>
            </w:r>
          </w:p>
        </w:tc>
        <w:tc>
          <w:tcPr>
            <w:tcW w:w="1200" w:type="dxa"/>
            <w:shd w:val="clear" w:color="auto" w:fill="auto"/>
            <w:vAlign w:val="center"/>
            <w:hideMark/>
          </w:tcPr>
          <w:p w14:paraId="53DE1AB8"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169.462.853</w:t>
            </w:r>
          </w:p>
        </w:tc>
        <w:tc>
          <w:tcPr>
            <w:tcW w:w="1200" w:type="dxa"/>
            <w:shd w:val="clear" w:color="auto" w:fill="auto"/>
            <w:vAlign w:val="center"/>
            <w:hideMark/>
          </w:tcPr>
          <w:p w14:paraId="0AB3DCE3"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theme="minorHAnsi"/>
                <w:color w:val="000000"/>
                <w:lang w:eastAsia="tr-TR"/>
              </w:rPr>
              <w:t>33%</w:t>
            </w:r>
          </w:p>
        </w:tc>
        <w:tc>
          <w:tcPr>
            <w:tcW w:w="1340" w:type="dxa"/>
            <w:shd w:val="clear" w:color="auto" w:fill="auto"/>
            <w:vAlign w:val="center"/>
            <w:hideMark/>
          </w:tcPr>
          <w:p w14:paraId="312DB45A"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166.125.751</w:t>
            </w:r>
          </w:p>
        </w:tc>
        <w:tc>
          <w:tcPr>
            <w:tcW w:w="1440" w:type="dxa"/>
            <w:shd w:val="clear" w:color="auto" w:fill="auto"/>
            <w:vAlign w:val="center"/>
            <w:hideMark/>
          </w:tcPr>
          <w:p w14:paraId="416CA9E7"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31%</w:t>
            </w:r>
          </w:p>
        </w:tc>
        <w:tc>
          <w:tcPr>
            <w:tcW w:w="1200" w:type="dxa"/>
            <w:shd w:val="clear" w:color="auto" w:fill="auto"/>
            <w:vAlign w:val="center"/>
            <w:hideMark/>
          </w:tcPr>
          <w:p w14:paraId="00BEC828" w14:textId="77777777" w:rsidR="00792322" w:rsidRPr="002A03B0" w:rsidRDefault="00792322" w:rsidP="00C17F5A">
            <w:pPr>
              <w:spacing w:after="0" w:line="240" w:lineRule="auto"/>
              <w:jc w:val="right"/>
              <w:rPr>
                <w:rFonts w:ascii="Calibri" w:eastAsia="Times New Roman" w:hAnsi="Calibri" w:cs="Calibri"/>
                <w:color w:val="FF0000"/>
                <w:lang w:eastAsia="tr-TR"/>
              </w:rPr>
            </w:pPr>
            <w:r w:rsidRPr="002A03B0">
              <w:rPr>
                <w:rFonts w:ascii="Calibri" w:eastAsia="Times New Roman" w:hAnsi="Calibri" w:cs="Calibri"/>
                <w:color w:val="FF0000"/>
                <w:lang w:eastAsia="tr-TR"/>
              </w:rPr>
              <w:t>-2%</w:t>
            </w:r>
          </w:p>
        </w:tc>
      </w:tr>
      <w:tr w:rsidR="00792322" w:rsidRPr="00232DFE" w14:paraId="6E9FF9DA" w14:textId="77777777" w:rsidTr="003120A5">
        <w:trPr>
          <w:trHeight w:val="300"/>
          <w:jc w:val="center"/>
        </w:trPr>
        <w:tc>
          <w:tcPr>
            <w:tcW w:w="1200" w:type="dxa"/>
            <w:shd w:val="clear" w:color="auto" w:fill="auto"/>
            <w:vAlign w:val="center"/>
            <w:hideMark/>
          </w:tcPr>
          <w:p w14:paraId="5DC55B43" w14:textId="77777777" w:rsidR="00792322" w:rsidRPr="002A03B0" w:rsidRDefault="00792322">
            <w:pPr>
              <w:spacing w:after="0" w:line="240" w:lineRule="auto"/>
              <w:jc w:val="both"/>
              <w:rPr>
                <w:rFonts w:ascii="Calibri" w:eastAsia="Times New Roman" w:hAnsi="Calibri" w:cs="Calibri"/>
                <w:color w:val="000000"/>
                <w:lang w:eastAsia="tr-TR"/>
              </w:rPr>
            </w:pPr>
            <w:r w:rsidRPr="002A03B0">
              <w:rPr>
                <w:rFonts w:ascii="Calibri" w:eastAsia="Times New Roman" w:hAnsi="Calibri" w:cs="Calibri"/>
                <w:color w:val="000000"/>
                <w:lang w:eastAsia="tr-TR"/>
              </w:rPr>
              <w:t>EGE</w:t>
            </w:r>
          </w:p>
        </w:tc>
        <w:tc>
          <w:tcPr>
            <w:tcW w:w="1200" w:type="dxa"/>
            <w:shd w:val="clear" w:color="auto" w:fill="auto"/>
            <w:vAlign w:val="center"/>
            <w:hideMark/>
          </w:tcPr>
          <w:p w14:paraId="774AFF20"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97.326.421</w:t>
            </w:r>
          </w:p>
        </w:tc>
        <w:tc>
          <w:tcPr>
            <w:tcW w:w="1200" w:type="dxa"/>
            <w:shd w:val="clear" w:color="auto" w:fill="auto"/>
            <w:vAlign w:val="center"/>
            <w:hideMark/>
          </w:tcPr>
          <w:p w14:paraId="132A78CC"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theme="minorHAnsi"/>
                <w:color w:val="000000"/>
                <w:lang w:eastAsia="tr-TR"/>
              </w:rPr>
              <w:t>19%</w:t>
            </w:r>
          </w:p>
        </w:tc>
        <w:tc>
          <w:tcPr>
            <w:tcW w:w="1340" w:type="dxa"/>
            <w:shd w:val="clear" w:color="auto" w:fill="auto"/>
            <w:vAlign w:val="center"/>
            <w:hideMark/>
          </w:tcPr>
          <w:p w14:paraId="5F68DB7C"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105.920.589</w:t>
            </w:r>
          </w:p>
        </w:tc>
        <w:tc>
          <w:tcPr>
            <w:tcW w:w="1440" w:type="dxa"/>
            <w:shd w:val="clear" w:color="auto" w:fill="auto"/>
            <w:vAlign w:val="center"/>
            <w:hideMark/>
          </w:tcPr>
          <w:p w14:paraId="54B918C9"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20%</w:t>
            </w:r>
          </w:p>
        </w:tc>
        <w:tc>
          <w:tcPr>
            <w:tcW w:w="1200" w:type="dxa"/>
            <w:shd w:val="clear" w:color="auto" w:fill="auto"/>
            <w:vAlign w:val="center"/>
            <w:hideMark/>
          </w:tcPr>
          <w:p w14:paraId="5BF8B0B5"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9%</w:t>
            </w:r>
          </w:p>
        </w:tc>
      </w:tr>
      <w:tr w:rsidR="00792322" w:rsidRPr="00232DFE" w14:paraId="596CB693" w14:textId="77777777" w:rsidTr="003120A5">
        <w:trPr>
          <w:trHeight w:val="300"/>
          <w:jc w:val="center"/>
        </w:trPr>
        <w:tc>
          <w:tcPr>
            <w:tcW w:w="1200" w:type="dxa"/>
            <w:shd w:val="clear" w:color="auto" w:fill="auto"/>
            <w:vAlign w:val="center"/>
            <w:hideMark/>
          </w:tcPr>
          <w:p w14:paraId="0A4101D5" w14:textId="77777777" w:rsidR="00792322" w:rsidRPr="002A03B0" w:rsidRDefault="00792322">
            <w:pPr>
              <w:spacing w:after="0" w:line="240" w:lineRule="auto"/>
              <w:jc w:val="both"/>
              <w:rPr>
                <w:rFonts w:ascii="Calibri" w:eastAsia="Times New Roman" w:hAnsi="Calibri" w:cs="Calibri"/>
                <w:color w:val="000000"/>
                <w:lang w:eastAsia="tr-TR"/>
              </w:rPr>
            </w:pPr>
            <w:r w:rsidRPr="002A03B0">
              <w:rPr>
                <w:rFonts w:ascii="Calibri" w:eastAsia="Times New Roman" w:hAnsi="Calibri" w:cs="Calibri"/>
                <w:color w:val="000000"/>
                <w:lang w:eastAsia="tr-TR"/>
              </w:rPr>
              <w:t>KARADENİZ</w:t>
            </w:r>
          </w:p>
        </w:tc>
        <w:tc>
          <w:tcPr>
            <w:tcW w:w="1200" w:type="dxa"/>
            <w:shd w:val="clear" w:color="auto" w:fill="auto"/>
            <w:vAlign w:val="center"/>
            <w:hideMark/>
          </w:tcPr>
          <w:p w14:paraId="7AEFEF90"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44.094.468</w:t>
            </w:r>
          </w:p>
        </w:tc>
        <w:tc>
          <w:tcPr>
            <w:tcW w:w="1200" w:type="dxa"/>
            <w:shd w:val="clear" w:color="auto" w:fill="auto"/>
            <w:vAlign w:val="center"/>
            <w:hideMark/>
          </w:tcPr>
          <w:p w14:paraId="61C66770"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theme="minorHAnsi"/>
                <w:color w:val="000000"/>
                <w:lang w:eastAsia="tr-TR"/>
              </w:rPr>
              <w:t>8%</w:t>
            </w:r>
          </w:p>
        </w:tc>
        <w:tc>
          <w:tcPr>
            <w:tcW w:w="1340" w:type="dxa"/>
            <w:shd w:val="clear" w:color="auto" w:fill="auto"/>
            <w:vAlign w:val="center"/>
            <w:hideMark/>
          </w:tcPr>
          <w:p w14:paraId="137B24E8"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44.416.119</w:t>
            </w:r>
          </w:p>
        </w:tc>
        <w:tc>
          <w:tcPr>
            <w:tcW w:w="1440" w:type="dxa"/>
            <w:shd w:val="clear" w:color="auto" w:fill="auto"/>
            <w:vAlign w:val="center"/>
            <w:hideMark/>
          </w:tcPr>
          <w:p w14:paraId="76439D5D"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8%</w:t>
            </w:r>
          </w:p>
        </w:tc>
        <w:tc>
          <w:tcPr>
            <w:tcW w:w="1200" w:type="dxa"/>
            <w:shd w:val="clear" w:color="auto" w:fill="auto"/>
            <w:vAlign w:val="center"/>
            <w:hideMark/>
          </w:tcPr>
          <w:p w14:paraId="1AF8E4C2" w14:textId="77777777" w:rsidR="00792322" w:rsidRPr="002A03B0" w:rsidRDefault="00792322" w:rsidP="00C17F5A">
            <w:pPr>
              <w:spacing w:after="0" w:line="240" w:lineRule="auto"/>
              <w:jc w:val="right"/>
              <w:rPr>
                <w:rFonts w:ascii="Calibri" w:eastAsia="Times New Roman" w:hAnsi="Calibri" w:cs="Calibri"/>
                <w:color w:val="000000"/>
                <w:lang w:eastAsia="tr-TR"/>
              </w:rPr>
            </w:pPr>
            <w:r w:rsidRPr="002A03B0">
              <w:rPr>
                <w:rFonts w:ascii="Calibri" w:eastAsia="Times New Roman" w:hAnsi="Calibri" w:cs="Calibri"/>
                <w:color w:val="000000"/>
                <w:lang w:eastAsia="tr-TR"/>
              </w:rPr>
              <w:t>1%</w:t>
            </w:r>
          </w:p>
        </w:tc>
      </w:tr>
      <w:tr w:rsidR="00792322" w:rsidRPr="00232DFE" w14:paraId="42BF230C" w14:textId="77777777" w:rsidTr="00EE754E">
        <w:trPr>
          <w:trHeight w:val="300"/>
          <w:jc w:val="center"/>
        </w:trPr>
        <w:tc>
          <w:tcPr>
            <w:tcW w:w="1200" w:type="dxa"/>
            <w:shd w:val="clear" w:color="auto" w:fill="FAE2D5" w:themeFill="accent2" w:themeFillTint="33"/>
            <w:vAlign w:val="center"/>
            <w:hideMark/>
          </w:tcPr>
          <w:p w14:paraId="3AA505E9" w14:textId="77777777" w:rsidR="00792322" w:rsidRPr="00232DFE" w:rsidRDefault="00792322">
            <w:pPr>
              <w:spacing w:after="0" w:line="240" w:lineRule="auto"/>
              <w:jc w:val="both"/>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TOPLAM</w:t>
            </w:r>
          </w:p>
        </w:tc>
        <w:tc>
          <w:tcPr>
            <w:tcW w:w="1200" w:type="dxa"/>
            <w:shd w:val="clear" w:color="auto" w:fill="FAE2D5" w:themeFill="accent2" w:themeFillTint="33"/>
            <w:vAlign w:val="center"/>
            <w:hideMark/>
          </w:tcPr>
          <w:p w14:paraId="67E093AF" w14:textId="77777777" w:rsidR="00792322" w:rsidRPr="00232DFE" w:rsidRDefault="00792322" w:rsidP="00C17F5A">
            <w:pPr>
              <w:spacing w:after="0" w:line="240" w:lineRule="auto"/>
              <w:jc w:val="right"/>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521.079.804</w:t>
            </w:r>
          </w:p>
        </w:tc>
        <w:tc>
          <w:tcPr>
            <w:tcW w:w="1200" w:type="dxa"/>
            <w:shd w:val="clear" w:color="auto" w:fill="FAE2D5" w:themeFill="accent2" w:themeFillTint="33"/>
            <w:vAlign w:val="center"/>
            <w:hideMark/>
          </w:tcPr>
          <w:p w14:paraId="2D8E8AD3" w14:textId="77777777" w:rsidR="00792322" w:rsidRPr="00232DFE" w:rsidRDefault="00792322" w:rsidP="00C17F5A">
            <w:pPr>
              <w:spacing w:after="0" w:line="240" w:lineRule="auto"/>
              <w:jc w:val="right"/>
              <w:rPr>
                <w:rFonts w:ascii="Calibri" w:eastAsia="Times New Roman" w:hAnsi="Calibri" w:cs="Calibri"/>
                <w:b/>
                <w:bCs/>
                <w:color w:val="000000"/>
                <w:lang w:eastAsia="tr-TR"/>
              </w:rPr>
            </w:pPr>
            <w:r w:rsidRPr="00232DFE">
              <w:rPr>
                <w:rFonts w:ascii="Calibri" w:eastAsia="Times New Roman" w:hAnsi="Calibri" w:cstheme="minorHAnsi"/>
                <w:b/>
                <w:bCs/>
                <w:color w:val="000000"/>
                <w:lang w:eastAsia="tr-TR"/>
              </w:rPr>
              <w:t>100%</w:t>
            </w:r>
          </w:p>
        </w:tc>
        <w:tc>
          <w:tcPr>
            <w:tcW w:w="1340" w:type="dxa"/>
            <w:shd w:val="clear" w:color="auto" w:fill="FAE2D5" w:themeFill="accent2" w:themeFillTint="33"/>
            <w:vAlign w:val="center"/>
            <w:hideMark/>
          </w:tcPr>
          <w:p w14:paraId="507089DB" w14:textId="77777777" w:rsidR="00792322" w:rsidRPr="00232DFE" w:rsidRDefault="00792322" w:rsidP="00C17F5A">
            <w:pPr>
              <w:spacing w:after="0" w:line="240" w:lineRule="auto"/>
              <w:jc w:val="right"/>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531.737.358</w:t>
            </w:r>
          </w:p>
        </w:tc>
        <w:tc>
          <w:tcPr>
            <w:tcW w:w="1440" w:type="dxa"/>
            <w:shd w:val="clear" w:color="auto" w:fill="FAE2D5" w:themeFill="accent2" w:themeFillTint="33"/>
            <w:vAlign w:val="center"/>
            <w:hideMark/>
          </w:tcPr>
          <w:p w14:paraId="08658229" w14:textId="77777777" w:rsidR="00792322" w:rsidRPr="00232DFE" w:rsidRDefault="00792322" w:rsidP="00C17F5A">
            <w:pPr>
              <w:spacing w:after="0" w:line="240" w:lineRule="auto"/>
              <w:jc w:val="right"/>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100%</w:t>
            </w:r>
          </w:p>
        </w:tc>
        <w:tc>
          <w:tcPr>
            <w:tcW w:w="1200" w:type="dxa"/>
            <w:shd w:val="clear" w:color="auto" w:fill="FAE2D5" w:themeFill="accent2" w:themeFillTint="33"/>
            <w:vAlign w:val="center"/>
            <w:hideMark/>
          </w:tcPr>
          <w:p w14:paraId="393F0C14" w14:textId="77777777" w:rsidR="00792322" w:rsidRPr="00232DFE" w:rsidRDefault="00792322" w:rsidP="00C17F5A">
            <w:pPr>
              <w:spacing w:after="0" w:line="240" w:lineRule="auto"/>
              <w:jc w:val="right"/>
              <w:rPr>
                <w:rFonts w:ascii="Calibri" w:eastAsia="Times New Roman" w:hAnsi="Calibri" w:cs="Calibri"/>
                <w:b/>
                <w:bCs/>
                <w:color w:val="000000"/>
                <w:lang w:eastAsia="tr-TR"/>
              </w:rPr>
            </w:pPr>
            <w:r w:rsidRPr="00232DFE">
              <w:rPr>
                <w:rFonts w:ascii="Calibri" w:eastAsia="Times New Roman" w:hAnsi="Calibri" w:cs="Calibri"/>
                <w:b/>
                <w:bCs/>
                <w:color w:val="000000"/>
                <w:lang w:eastAsia="tr-TR"/>
              </w:rPr>
              <w:t>2%</w:t>
            </w:r>
          </w:p>
        </w:tc>
      </w:tr>
    </w:tbl>
    <w:p w14:paraId="4B24BD0A" w14:textId="77777777" w:rsidR="00380903" w:rsidRDefault="00380903" w:rsidP="00792322">
      <w:pPr>
        <w:jc w:val="both"/>
        <w:rPr>
          <w:rFonts w:cstheme="minorHAnsi"/>
          <w:sz w:val="24"/>
          <w:szCs w:val="24"/>
        </w:rPr>
      </w:pPr>
    </w:p>
    <w:p w14:paraId="39B05DA6" w14:textId="52420E20" w:rsidR="00792322" w:rsidRPr="00380903" w:rsidRDefault="00184A14" w:rsidP="00792322">
      <w:pPr>
        <w:jc w:val="both"/>
        <w:rPr>
          <w:rFonts w:cstheme="minorHAnsi"/>
          <w:sz w:val="24"/>
          <w:szCs w:val="24"/>
        </w:rPr>
      </w:pPr>
      <w:r w:rsidRPr="00380903">
        <w:rPr>
          <w:rFonts w:cstheme="minorHAnsi"/>
          <w:sz w:val="24"/>
          <w:szCs w:val="24"/>
        </w:rPr>
        <w:t xml:space="preserve">Aşağıdaki Grafik-4 ve Grafik-5 Türkiye’de bölgeler bazında yük miktarlarının dağılımın ı göstermektedir. </w:t>
      </w:r>
    </w:p>
    <w:p w14:paraId="1EC5AC2C" w14:textId="4BAB1495" w:rsidR="00BC3E73" w:rsidRPr="00C17F5A" w:rsidRDefault="00590583" w:rsidP="00590583">
      <w:pPr>
        <w:jc w:val="center"/>
        <w:rPr>
          <w:rFonts w:cstheme="minorHAnsi"/>
          <w:sz w:val="22"/>
          <w:szCs w:val="22"/>
        </w:rPr>
      </w:pPr>
      <w:r w:rsidRPr="00C17F5A">
        <w:rPr>
          <w:rFonts w:cstheme="minorHAnsi"/>
          <w:b/>
          <w:bCs/>
          <w:sz w:val="22"/>
          <w:szCs w:val="22"/>
          <w:u w:val="single"/>
        </w:rPr>
        <w:t>Grafik-4:</w:t>
      </w:r>
      <w:r w:rsidRPr="00C17F5A">
        <w:rPr>
          <w:rFonts w:cstheme="minorHAnsi"/>
          <w:sz w:val="22"/>
          <w:szCs w:val="22"/>
        </w:rPr>
        <w:t xml:space="preserve"> </w:t>
      </w:r>
      <w:r w:rsidRPr="00C17F5A">
        <w:rPr>
          <w:rFonts w:cstheme="minorHAnsi"/>
          <w:b/>
          <w:bCs/>
          <w:sz w:val="22"/>
          <w:szCs w:val="22"/>
        </w:rPr>
        <w:t>Bölgelere Göre Toplam Yükteki Pay (2023)</w:t>
      </w:r>
    </w:p>
    <w:p w14:paraId="192F68BF" w14:textId="13101671" w:rsidR="00C17F5A" w:rsidRDefault="00BC3E73" w:rsidP="001948E4">
      <w:pPr>
        <w:jc w:val="center"/>
        <w:rPr>
          <w:rFonts w:cstheme="minorHAnsi"/>
        </w:rPr>
      </w:pPr>
      <w:r>
        <w:rPr>
          <w:noProof/>
        </w:rPr>
        <w:drawing>
          <wp:inline distT="0" distB="0" distL="0" distR="0" wp14:anchorId="237F8531" wp14:editId="3DD652E7">
            <wp:extent cx="4636851" cy="2937753"/>
            <wp:effectExtent l="0" t="0" r="11430" b="15240"/>
            <wp:docPr id="1924903702" name="Grafik 1">
              <a:extLst xmlns:a="http://schemas.openxmlformats.org/drawingml/2006/main">
                <a:ext uri="{FF2B5EF4-FFF2-40B4-BE49-F238E27FC236}">
                  <a16:creationId xmlns:a16="http://schemas.microsoft.com/office/drawing/2014/main" id="{4B2982FB-FF50-82E3-703A-1988FE6B2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A48C21" w14:textId="77777777" w:rsidR="001948E4" w:rsidRPr="001948E4" w:rsidRDefault="001948E4" w:rsidP="001948E4">
      <w:pPr>
        <w:jc w:val="center"/>
        <w:rPr>
          <w:rFonts w:cstheme="minorHAnsi"/>
        </w:rPr>
      </w:pPr>
    </w:p>
    <w:p w14:paraId="2A1CF559" w14:textId="77777777" w:rsidR="00C17F5A" w:rsidRDefault="00C17F5A" w:rsidP="00C17F5A">
      <w:pPr>
        <w:rPr>
          <w:rFonts w:cstheme="minorHAnsi"/>
          <w:b/>
          <w:bCs/>
          <w:u w:val="single"/>
        </w:rPr>
      </w:pPr>
    </w:p>
    <w:p w14:paraId="5466E62B" w14:textId="2DEAF746" w:rsidR="00BC3E73" w:rsidRPr="00640A82" w:rsidRDefault="00590583" w:rsidP="00C66FA3">
      <w:pPr>
        <w:jc w:val="center"/>
        <w:rPr>
          <w:rFonts w:cstheme="minorHAnsi"/>
          <w:b/>
          <w:bCs/>
        </w:rPr>
      </w:pPr>
      <w:r>
        <w:rPr>
          <w:rFonts w:cstheme="minorHAnsi"/>
          <w:b/>
          <w:bCs/>
          <w:u w:val="single"/>
        </w:rPr>
        <w:t>Grafik</w:t>
      </w:r>
      <w:r w:rsidRPr="00410154">
        <w:rPr>
          <w:rFonts w:cstheme="minorHAnsi"/>
          <w:b/>
          <w:bCs/>
          <w:u w:val="single"/>
        </w:rPr>
        <w:t>-</w:t>
      </w:r>
      <w:r w:rsidR="00640A82">
        <w:rPr>
          <w:rFonts w:cstheme="minorHAnsi"/>
          <w:b/>
          <w:bCs/>
          <w:u w:val="single"/>
        </w:rPr>
        <w:t>5</w:t>
      </w:r>
      <w:r w:rsidRPr="00410154">
        <w:rPr>
          <w:rFonts w:cstheme="minorHAnsi"/>
          <w:b/>
          <w:bCs/>
          <w:u w:val="single"/>
        </w:rPr>
        <w:t>:</w:t>
      </w:r>
      <w:r w:rsidRPr="00410154">
        <w:rPr>
          <w:rFonts w:cstheme="minorHAnsi"/>
        </w:rPr>
        <w:t xml:space="preserve"> </w:t>
      </w:r>
      <w:r w:rsidRPr="00640A82">
        <w:rPr>
          <w:rFonts w:cstheme="minorHAnsi"/>
          <w:b/>
          <w:bCs/>
        </w:rPr>
        <w:t>Bölgelere Göre Toplam Yükteki Pay (202</w:t>
      </w:r>
      <w:r w:rsidR="00C66FA3" w:rsidRPr="00640A82">
        <w:rPr>
          <w:rFonts w:cstheme="minorHAnsi"/>
          <w:b/>
          <w:bCs/>
        </w:rPr>
        <w:t>4</w:t>
      </w:r>
      <w:r w:rsidRPr="00640A82">
        <w:rPr>
          <w:rFonts w:cstheme="minorHAnsi"/>
          <w:b/>
          <w:bCs/>
        </w:rPr>
        <w:t>)</w:t>
      </w:r>
    </w:p>
    <w:p w14:paraId="3E057E6C" w14:textId="77777777" w:rsidR="00792322" w:rsidRDefault="00792322" w:rsidP="00A11D35">
      <w:pPr>
        <w:jc w:val="center"/>
        <w:rPr>
          <w:rFonts w:cstheme="minorHAnsi"/>
        </w:rPr>
      </w:pPr>
      <w:r>
        <w:rPr>
          <w:noProof/>
        </w:rPr>
        <w:drawing>
          <wp:inline distT="0" distB="0" distL="0" distR="0" wp14:anchorId="684DE6EF" wp14:editId="6B22C558">
            <wp:extent cx="4824919" cy="2833991"/>
            <wp:effectExtent l="0" t="0" r="13970" b="5080"/>
            <wp:docPr id="121448610" name="Grafik 1">
              <a:extLst xmlns:a="http://schemas.openxmlformats.org/drawingml/2006/main">
                <a:ext uri="{FF2B5EF4-FFF2-40B4-BE49-F238E27FC236}">
                  <a16:creationId xmlns:a16="http://schemas.microsoft.com/office/drawing/2014/main" id="{CA9A18B0-83BB-BE2E-88A2-A48A39B589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0FB9C5" w14:textId="200046E9" w:rsidR="000E3230" w:rsidRPr="00380903" w:rsidRDefault="00C17F5A" w:rsidP="00792322">
      <w:pPr>
        <w:jc w:val="both"/>
        <w:rPr>
          <w:rFonts w:cstheme="minorHAnsi"/>
          <w:sz w:val="24"/>
          <w:szCs w:val="24"/>
        </w:rPr>
      </w:pPr>
      <w:r>
        <w:rPr>
          <w:rFonts w:cstheme="minorHAnsi"/>
          <w:sz w:val="24"/>
          <w:szCs w:val="24"/>
        </w:rPr>
        <w:t xml:space="preserve">Toplam yükte </w:t>
      </w:r>
      <w:r w:rsidR="00184A14" w:rsidRPr="00380903">
        <w:rPr>
          <w:rFonts w:cstheme="minorHAnsi"/>
          <w:sz w:val="24"/>
          <w:szCs w:val="24"/>
        </w:rPr>
        <w:t>bölgeler bazındaki</w:t>
      </w:r>
      <w:r w:rsidR="000E3230" w:rsidRPr="00380903">
        <w:rPr>
          <w:rFonts w:cstheme="minorHAnsi"/>
          <w:sz w:val="24"/>
          <w:szCs w:val="24"/>
        </w:rPr>
        <w:t xml:space="preserve"> </w:t>
      </w:r>
      <w:r>
        <w:rPr>
          <w:rFonts w:cstheme="minorHAnsi"/>
          <w:sz w:val="24"/>
          <w:szCs w:val="24"/>
        </w:rPr>
        <w:t xml:space="preserve">pay </w:t>
      </w:r>
      <w:r w:rsidR="000E3230" w:rsidRPr="00380903">
        <w:rPr>
          <w:rFonts w:cstheme="minorHAnsi"/>
          <w:sz w:val="24"/>
          <w:szCs w:val="24"/>
        </w:rPr>
        <w:t>dağılımına baktığımızda;</w:t>
      </w:r>
    </w:p>
    <w:p w14:paraId="73CFDC42" w14:textId="268C885E" w:rsidR="00792322" w:rsidRPr="00380903" w:rsidRDefault="000E3230" w:rsidP="00792322">
      <w:pPr>
        <w:jc w:val="both"/>
        <w:rPr>
          <w:rFonts w:cstheme="minorHAnsi"/>
          <w:sz w:val="24"/>
          <w:szCs w:val="24"/>
        </w:rPr>
      </w:pPr>
      <w:r w:rsidRPr="00380903">
        <w:rPr>
          <w:rFonts w:cstheme="minorHAnsi"/>
          <w:sz w:val="24"/>
          <w:szCs w:val="24"/>
        </w:rPr>
        <w:t xml:space="preserve">MARMARA </w:t>
      </w:r>
      <w:r w:rsidR="00C17F5A">
        <w:rPr>
          <w:rFonts w:cstheme="minorHAnsi"/>
          <w:sz w:val="24"/>
          <w:szCs w:val="24"/>
        </w:rPr>
        <w:t>b</w:t>
      </w:r>
      <w:r w:rsidRPr="00380903">
        <w:rPr>
          <w:rFonts w:cstheme="minorHAnsi"/>
          <w:sz w:val="24"/>
          <w:szCs w:val="24"/>
        </w:rPr>
        <w:t>ölgesinin 2023 yılında %40 olan payı 2024 yılında</w:t>
      </w:r>
      <w:r w:rsidR="00665EA2" w:rsidRPr="00380903">
        <w:rPr>
          <w:rFonts w:cstheme="minorHAnsi"/>
          <w:sz w:val="24"/>
          <w:szCs w:val="24"/>
        </w:rPr>
        <w:t xml:space="preserve"> %41’e çıkmıştır</w:t>
      </w:r>
      <w:r w:rsidR="00C17F5A">
        <w:rPr>
          <w:rFonts w:cstheme="minorHAnsi"/>
          <w:sz w:val="24"/>
          <w:szCs w:val="24"/>
        </w:rPr>
        <w:t>.</w:t>
      </w:r>
      <w:r w:rsidR="00665EA2" w:rsidRPr="00380903">
        <w:rPr>
          <w:rFonts w:cstheme="minorHAnsi"/>
          <w:sz w:val="24"/>
          <w:szCs w:val="24"/>
        </w:rPr>
        <w:t xml:space="preserve"> </w:t>
      </w:r>
      <w:r w:rsidR="00184A14" w:rsidRPr="00380903">
        <w:rPr>
          <w:rFonts w:cstheme="minorHAnsi"/>
          <w:sz w:val="24"/>
          <w:szCs w:val="24"/>
        </w:rPr>
        <w:t xml:space="preserve"> </w:t>
      </w:r>
    </w:p>
    <w:p w14:paraId="784CEFC3" w14:textId="570AF1A0" w:rsidR="00665EA2" w:rsidRPr="00380903" w:rsidRDefault="00A664B1" w:rsidP="00665EA2">
      <w:pPr>
        <w:jc w:val="both"/>
        <w:rPr>
          <w:rFonts w:cstheme="minorHAnsi"/>
          <w:sz w:val="24"/>
          <w:szCs w:val="24"/>
        </w:rPr>
      </w:pPr>
      <w:r w:rsidRPr="00380903">
        <w:rPr>
          <w:rFonts w:cstheme="minorHAnsi"/>
          <w:sz w:val="24"/>
          <w:szCs w:val="24"/>
        </w:rPr>
        <w:t>AKDENİZ</w:t>
      </w:r>
      <w:r w:rsidR="00665EA2" w:rsidRPr="00380903">
        <w:rPr>
          <w:rFonts w:cstheme="minorHAnsi"/>
          <w:sz w:val="24"/>
          <w:szCs w:val="24"/>
        </w:rPr>
        <w:t xml:space="preserve"> </w:t>
      </w:r>
      <w:r w:rsidR="00C17F5A">
        <w:rPr>
          <w:rFonts w:cstheme="minorHAnsi"/>
          <w:sz w:val="24"/>
          <w:szCs w:val="24"/>
        </w:rPr>
        <w:t>b</w:t>
      </w:r>
      <w:r w:rsidR="00665EA2" w:rsidRPr="00380903">
        <w:rPr>
          <w:rFonts w:cstheme="minorHAnsi"/>
          <w:sz w:val="24"/>
          <w:szCs w:val="24"/>
        </w:rPr>
        <w:t>ölgesinin 2023 yılında %33 olan payı 2024 yılında %</w:t>
      </w:r>
      <w:r w:rsidR="00F2033C" w:rsidRPr="00380903">
        <w:rPr>
          <w:rFonts w:cstheme="minorHAnsi"/>
          <w:sz w:val="24"/>
          <w:szCs w:val="24"/>
        </w:rPr>
        <w:t xml:space="preserve">31’e </w:t>
      </w:r>
      <w:r w:rsidR="00665EA2" w:rsidRPr="00380903">
        <w:rPr>
          <w:rFonts w:cstheme="minorHAnsi"/>
          <w:sz w:val="24"/>
          <w:szCs w:val="24"/>
        </w:rPr>
        <w:t>inmiştir</w:t>
      </w:r>
      <w:r w:rsidR="00C17F5A">
        <w:rPr>
          <w:rFonts w:cstheme="minorHAnsi"/>
          <w:sz w:val="24"/>
          <w:szCs w:val="24"/>
        </w:rPr>
        <w:t>.</w:t>
      </w:r>
      <w:r w:rsidR="00665EA2" w:rsidRPr="00380903">
        <w:rPr>
          <w:rFonts w:cstheme="minorHAnsi"/>
          <w:sz w:val="24"/>
          <w:szCs w:val="24"/>
        </w:rPr>
        <w:t xml:space="preserve">  </w:t>
      </w:r>
    </w:p>
    <w:p w14:paraId="50EF2592" w14:textId="0C766385" w:rsidR="00665EA2" w:rsidRPr="00380903" w:rsidRDefault="00665EA2" w:rsidP="00665EA2">
      <w:pPr>
        <w:jc w:val="both"/>
        <w:rPr>
          <w:rFonts w:cstheme="minorHAnsi"/>
          <w:sz w:val="24"/>
          <w:szCs w:val="24"/>
        </w:rPr>
      </w:pPr>
      <w:r w:rsidRPr="00380903">
        <w:rPr>
          <w:rFonts w:cstheme="minorHAnsi"/>
          <w:sz w:val="24"/>
          <w:szCs w:val="24"/>
        </w:rPr>
        <w:t xml:space="preserve">EGE </w:t>
      </w:r>
      <w:r w:rsidR="00C17F5A">
        <w:rPr>
          <w:rFonts w:cstheme="minorHAnsi"/>
          <w:sz w:val="24"/>
          <w:szCs w:val="24"/>
        </w:rPr>
        <w:t>b</w:t>
      </w:r>
      <w:r w:rsidRPr="00380903">
        <w:rPr>
          <w:rFonts w:cstheme="minorHAnsi"/>
          <w:sz w:val="24"/>
          <w:szCs w:val="24"/>
        </w:rPr>
        <w:t>ölgesinin 2023 yılında %19 olan payı 2024 yılında %</w:t>
      </w:r>
      <w:r w:rsidR="00F2033C" w:rsidRPr="00380903">
        <w:rPr>
          <w:rFonts w:cstheme="minorHAnsi"/>
          <w:sz w:val="24"/>
          <w:szCs w:val="24"/>
        </w:rPr>
        <w:t>20</w:t>
      </w:r>
      <w:r w:rsidRPr="00380903">
        <w:rPr>
          <w:rFonts w:cstheme="minorHAnsi"/>
          <w:sz w:val="24"/>
          <w:szCs w:val="24"/>
        </w:rPr>
        <w:t>’</w:t>
      </w:r>
      <w:r w:rsidR="00F2033C" w:rsidRPr="00380903">
        <w:rPr>
          <w:rFonts w:cstheme="minorHAnsi"/>
          <w:sz w:val="24"/>
          <w:szCs w:val="24"/>
        </w:rPr>
        <w:t>y</w:t>
      </w:r>
      <w:r w:rsidRPr="00380903">
        <w:rPr>
          <w:rFonts w:cstheme="minorHAnsi"/>
          <w:sz w:val="24"/>
          <w:szCs w:val="24"/>
        </w:rPr>
        <w:t>e çıkmıştır</w:t>
      </w:r>
      <w:r w:rsidR="00C17F5A">
        <w:rPr>
          <w:rFonts w:cstheme="minorHAnsi"/>
          <w:sz w:val="24"/>
          <w:szCs w:val="24"/>
        </w:rPr>
        <w:t>.</w:t>
      </w:r>
      <w:r w:rsidRPr="00380903">
        <w:rPr>
          <w:rFonts w:cstheme="minorHAnsi"/>
          <w:sz w:val="24"/>
          <w:szCs w:val="24"/>
        </w:rPr>
        <w:t xml:space="preserve">  </w:t>
      </w:r>
    </w:p>
    <w:p w14:paraId="465F7518" w14:textId="4B5D4D74" w:rsidR="008E4222" w:rsidRDefault="00F2033C" w:rsidP="00213189">
      <w:pPr>
        <w:jc w:val="both"/>
        <w:rPr>
          <w:rFonts w:cstheme="minorHAnsi"/>
          <w:sz w:val="24"/>
          <w:szCs w:val="24"/>
        </w:rPr>
      </w:pPr>
      <w:r w:rsidRPr="00380903">
        <w:rPr>
          <w:rFonts w:cstheme="minorHAnsi"/>
          <w:sz w:val="24"/>
          <w:szCs w:val="24"/>
        </w:rPr>
        <w:t>KARADENİZ</w:t>
      </w:r>
      <w:r w:rsidR="00665EA2" w:rsidRPr="00380903">
        <w:rPr>
          <w:rFonts w:cstheme="minorHAnsi"/>
          <w:sz w:val="24"/>
          <w:szCs w:val="24"/>
        </w:rPr>
        <w:t xml:space="preserve"> </w:t>
      </w:r>
      <w:r w:rsidR="00C17F5A">
        <w:rPr>
          <w:rFonts w:cstheme="minorHAnsi"/>
          <w:sz w:val="24"/>
          <w:szCs w:val="24"/>
        </w:rPr>
        <w:t>b</w:t>
      </w:r>
      <w:r w:rsidR="00665EA2" w:rsidRPr="00380903">
        <w:rPr>
          <w:rFonts w:cstheme="minorHAnsi"/>
          <w:sz w:val="24"/>
          <w:szCs w:val="24"/>
        </w:rPr>
        <w:t>ölgesinin 2023 yılında %</w:t>
      </w:r>
      <w:r w:rsidRPr="00380903">
        <w:rPr>
          <w:rFonts w:cstheme="minorHAnsi"/>
          <w:sz w:val="24"/>
          <w:szCs w:val="24"/>
        </w:rPr>
        <w:t>8</w:t>
      </w:r>
      <w:r w:rsidR="00665EA2" w:rsidRPr="00380903">
        <w:rPr>
          <w:rFonts w:cstheme="minorHAnsi"/>
          <w:sz w:val="24"/>
          <w:szCs w:val="24"/>
        </w:rPr>
        <w:t xml:space="preserve"> olan payı 2024 yılında </w:t>
      </w:r>
      <w:r w:rsidRPr="00380903">
        <w:rPr>
          <w:rFonts w:cstheme="minorHAnsi"/>
          <w:sz w:val="24"/>
          <w:szCs w:val="24"/>
        </w:rPr>
        <w:t xml:space="preserve">değişmeyerek </w:t>
      </w:r>
      <w:r w:rsidR="00665EA2" w:rsidRPr="00380903">
        <w:rPr>
          <w:rFonts w:cstheme="minorHAnsi"/>
          <w:sz w:val="24"/>
          <w:szCs w:val="24"/>
        </w:rPr>
        <w:t>%</w:t>
      </w:r>
      <w:r w:rsidRPr="00380903">
        <w:rPr>
          <w:rFonts w:cstheme="minorHAnsi"/>
          <w:sz w:val="24"/>
          <w:szCs w:val="24"/>
        </w:rPr>
        <w:t>8</w:t>
      </w:r>
      <w:r w:rsidR="00C17F5A">
        <w:rPr>
          <w:rFonts w:cstheme="minorHAnsi"/>
          <w:sz w:val="24"/>
          <w:szCs w:val="24"/>
        </w:rPr>
        <w:t xml:space="preserve">’de kalmıştır. </w:t>
      </w:r>
      <w:r w:rsidRPr="00380903">
        <w:rPr>
          <w:rFonts w:cstheme="minorHAnsi"/>
          <w:sz w:val="24"/>
          <w:szCs w:val="24"/>
        </w:rPr>
        <w:t xml:space="preserve"> </w:t>
      </w:r>
      <w:r w:rsidR="00665EA2" w:rsidRPr="00380903">
        <w:rPr>
          <w:rFonts w:cstheme="minorHAnsi"/>
          <w:sz w:val="24"/>
          <w:szCs w:val="24"/>
        </w:rPr>
        <w:t xml:space="preserve"> </w:t>
      </w:r>
    </w:p>
    <w:p w14:paraId="73DAA484" w14:textId="243DD44C" w:rsidR="00213189" w:rsidRPr="00213189" w:rsidRDefault="00213189" w:rsidP="00213189">
      <w:pPr>
        <w:jc w:val="both"/>
        <w:rPr>
          <w:rFonts w:cstheme="minorHAnsi"/>
          <w:sz w:val="24"/>
          <w:szCs w:val="24"/>
        </w:rPr>
      </w:pPr>
      <w:r w:rsidRPr="00380903">
        <w:rPr>
          <w:rFonts w:cstheme="minorHAnsi"/>
          <w:sz w:val="24"/>
          <w:szCs w:val="24"/>
        </w:rPr>
        <w:t>Aşağıdaki Tablo-11 toplam yükte 2000-2024 yılları arasındaki bölgelerin paylarını gösterirken, Grafik-6 ise toplam yükte 2010-2024 arasındaki bölge paylarının büyüme trendini göstermektedir.  Marmara Bölgesi 2005 ve 2006 yılında %46 ile en büyük payın alırken zamanla bu pay %38’lere kadar gerilemiş, fakat 2023 ve 2024 yıllarında %40 oranına oturmuştur. Bu tablo ve grafiklerden de görüldüğü gibi Akdeniz Bölgesi’nde ise düşüş eğilimi vardır. Bu bölgenin 2015 ve 2016 yılında %37 olarak aldığı yüksek pay giderek azalma eğilimine girmiştir.</w:t>
      </w:r>
    </w:p>
    <w:p w14:paraId="4A742B4D" w14:textId="56B3AF78" w:rsidR="009F0665" w:rsidRPr="00213189" w:rsidRDefault="00A24A48" w:rsidP="00A24A48">
      <w:pPr>
        <w:jc w:val="center"/>
        <w:rPr>
          <w:rFonts w:cstheme="minorHAnsi"/>
          <w:b/>
          <w:bCs/>
          <w:sz w:val="22"/>
          <w:szCs w:val="22"/>
        </w:rPr>
      </w:pPr>
      <w:r w:rsidRPr="00213189">
        <w:rPr>
          <w:rFonts w:cstheme="minorHAnsi"/>
          <w:b/>
          <w:bCs/>
          <w:sz w:val="22"/>
          <w:szCs w:val="22"/>
          <w:u w:val="single"/>
        </w:rPr>
        <w:t>Tablo-</w:t>
      </w:r>
      <w:r w:rsidR="00F2033C" w:rsidRPr="00213189">
        <w:rPr>
          <w:rFonts w:cstheme="minorHAnsi"/>
          <w:b/>
          <w:bCs/>
          <w:sz w:val="22"/>
          <w:szCs w:val="22"/>
          <w:u w:val="single"/>
        </w:rPr>
        <w:t>11</w:t>
      </w:r>
      <w:r w:rsidRPr="00213189">
        <w:rPr>
          <w:rFonts w:cstheme="minorHAnsi"/>
          <w:b/>
          <w:bCs/>
          <w:sz w:val="22"/>
          <w:szCs w:val="22"/>
          <w:u w:val="single"/>
        </w:rPr>
        <w:t>:</w:t>
      </w:r>
      <w:r w:rsidRPr="00213189">
        <w:rPr>
          <w:rFonts w:cstheme="minorHAnsi"/>
          <w:sz w:val="22"/>
          <w:szCs w:val="22"/>
        </w:rPr>
        <w:t xml:space="preserve"> </w:t>
      </w:r>
      <w:r w:rsidRPr="00213189">
        <w:rPr>
          <w:rFonts w:cstheme="minorHAnsi"/>
          <w:b/>
          <w:bCs/>
          <w:sz w:val="22"/>
          <w:szCs w:val="22"/>
        </w:rPr>
        <w:t>Türkiye’de Toplam Yükte Bölgelerin Payları (2000-2024)</w:t>
      </w:r>
    </w:p>
    <w:tbl>
      <w:tblPr>
        <w:tblW w:w="70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60"/>
        <w:gridCol w:w="1220"/>
        <w:gridCol w:w="1220"/>
        <w:gridCol w:w="1220"/>
        <w:gridCol w:w="1220"/>
        <w:gridCol w:w="1220"/>
      </w:tblGrid>
      <w:tr w:rsidR="009F0665" w:rsidRPr="009F0665" w14:paraId="656DC0DB" w14:textId="77777777" w:rsidTr="00F2033C">
        <w:trPr>
          <w:trHeight w:val="290"/>
          <w:jc w:val="center"/>
        </w:trPr>
        <w:tc>
          <w:tcPr>
            <w:tcW w:w="960" w:type="dxa"/>
            <w:shd w:val="clear" w:color="auto" w:fill="FFFF00"/>
            <w:noWrap/>
            <w:vAlign w:val="center"/>
            <w:hideMark/>
          </w:tcPr>
          <w:p w14:paraId="2EE759E5"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Yıllar</w:t>
            </w:r>
          </w:p>
        </w:tc>
        <w:tc>
          <w:tcPr>
            <w:tcW w:w="1220" w:type="dxa"/>
            <w:shd w:val="clear" w:color="auto" w:fill="FFFF00"/>
            <w:noWrap/>
            <w:vAlign w:val="center"/>
            <w:hideMark/>
          </w:tcPr>
          <w:p w14:paraId="7C70857F"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Marmara</w:t>
            </w:r>
          </w:p>
        </w:tc>
        <w:tc>
          <w:tcPr>
            <w:tcW w:w="1220" w:type="dxa"/>
            <w:shd w:val="clear" w:color="auto" w:fill="FFFF00"/>
            <w:noWrap/>
            <w:vAlign w:val="center"/>
            <w:hideMark/>
          </w:tcPr>
          <w:p w14:paraId="03BE5B24"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Akdeniz</w:t>
            </w:r>
          </w:p>
        </w:tc>
        <w:tc>
          <w:tcPr>
            <w:tcW w:w="1220" w:type="dxa"/>
            <w:shd w:val="clear" w:color="auto" w:fill="FFFF00"/>
            <w:noWrap/>
            <w:vAlign w:val="center"/>
            <w:hideMark/>
          </w:tcPr>
          <w:p w14:paraId="38BB2D40"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Ege</w:t>
            </w:r>
          </w:p>
        </w:tc>
        <w:tc>
          <w:tcPr>
            <w:tcW w:w="1220" w:type="dxa"/>
            <w:shd w:val="clear" w:color="auto" w:fill="FFFF00"/>
            <w:noWrap/>
            <w:vAlign w:val="center"/>
            <w:hideMark/>
          </w:tcPr>
          <w:p w14:paraId="7FC3BA6D"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Karadeniz</w:t>
            </w:r>
          </w:p>
        </w:tc>
        <w:tc>
          <w:tcPr>
            <w:tcW w:w="1220" w:type="dxa"/>
            <w:shd w:val="clear" w:color="auto" w:fill="FFFF00"/>
            <w:noWrap/>
            <w:vAlign w:val="center"/>
            <w:hideMark/>
          </w:tcPr>
          <w:p w14:paraId="12D3E10F"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Toplam</w:t>
            </w:r>
          </w:p>
        </w:tc>
      </w:tr>
      <w:tr w:rsidR="00103DBF" w:rsidRPr="009F0665" w14:paraId="3490678B" w14:textId="77777777" w:rsidTr="00F2033C">
        <w:trPr>
          <w:trHeight w:val="290"/>
          <w:jc w:val="center"/>
        </w:trPr>
        <w:tc>
          <w:tcPr>
            <w:tcW w:w="960" w:type="dxa"/>
            <w:shd w:val="clear" w:color="auto" w:fill="FAE2D5" w:themeFill="accent2" w:themeFillTint="33"/>
            <w:noWrap/>
            <w:vAlign w:val="center"/>
            <w:hideMark/>
          </w:tcPr>
          <w:p w14:paraId="3E8C8B8B"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2000</w:t>
            </w:r>
          </w:p>
        </w:tc>
        <w:tc>
          <w:tcPr>
            <w:tcW w:w="1220" w:type="dxa"/>
            <w:shd w:val="clear" w:color="auto" w:fill="FAE2D5" w:themeFill="accent2" w:themeFillTint="33"/>
            <w:noWrap/>
            <w:vAlign w:val="center"/>
            <w:hideMark/>
          </w:tcPr>
          <w:p w14:paraId="30D2223F"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34%</w:t>
            </w:r>
          </w:p>
        </w:tc>
        <w:tc>
          <w:tcPr>
            <w:tcW w:w="1220" w:type="dxa"/>
            <w:shd w:val="clear" w:color="auto" w:fill="FAE2D5" w:themeFill="accent2" w:themeFillTint="33"/>
            <w:noWrap/>
            <w:vAlign w:val="center"/>
            <w:hideMark/>
          </w:tcPr>
          <w:p w14:paraId="0878A10F"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37%</w:t>
            </w:r>
          </w:p>
        </w:tc>
        <w:tc>
          <w:tcPr>
            <w:tcW w:w="1220" w:type="dxa"/>
            <w:shd w:val="clear" w:color="auto" w:fill="FAE2D5" w:themeFill="accent2" w:themeFillTint="33"/>
            <w:noWrap/>
            <w:vAlign w:val="center"/>
            <w:hideMark/>
          </w:tcPr>
          <w:p w14:paraId="16C76B9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18%</w:t>
            </w:r>
          </w:p>
        </w:tc>
        <w:tc>
          <w:tcPr>
            <w:tcW w:w="1220" w:type="dxa"/>
            <w:shd w:val="clear" w:color="auto" w:fill="FAE2D5" w:themeFill="accent2" w:themeFillTint="33"/>
            <w:noWrap/>
            <w:vAlign w:val="center"/>
            <w:hideMark/>
          </w:tcPr>
          <w:p w14:paraId="7B76F044"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11%</w:t>
            </w:r>
          </w:p>
        </w:tc>
        <w:tc>
          <w:tcPr>
            <w:tcW w:w="1220" w:type="dxa"/>
            <w:shd w:val="clear" w:color="auto" w:fill="FAE2D5" w:themeFill="accent2" w:themeFillTint="33"/>
            <w:noWrap/>
            <w:vAlign w:val="center"/>
            <w:hideMark/>
          </w:tcPr>
          <w:p w14:paraId="1CEC694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4CD3AC9C" w14:textId="77777777" w:rsidTr="00F2033C">
        <w:trPr>
          <w:trHeight w:val="290"/>
          <w:jc w:val="center"/>
        </w:trPr>
        <w:tc>
          <w:tcPr>
            <w:tcW w:w="960" w:type="dxa"/>
            <w:shd w:val="clear" w:color="auto" w:fill="auto"/>
            <w:noWrap/>
            <w:vAlign w:val="center"/>
            <w:hideMark/>
          </w:tcPr>
          <w:p w14:paraId="22E11EA8"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2001</w:t>
            </w:r>
          </w:p>
        </w:tc>
        <w:tc>
          <w:tcPr>
            <w:tcW w:w="1220" w:type="dxa"/>
            <w:shd w:val="clear" w:color="auto" w:fill="auto"/>
            <w:noWrap/>
            <w:vAlign w:val="center"/>
            <w:hideMark/>
          </w:tcPr>
          <w:p w14:paraId="3161E0BC"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35%</w:t>
            </w:r>
          </w:p>
        </w:tc>
        <w:tc>
          <w:tcPr>
            <w:tcW w:w="1220" w:type="dxa"/>
            <w:shd w:val="clear" w:color="auto" w:fill="auto"/>
            <w:noWrap/>
            <w:vAlign w:val="center"/>
            <w:hideMark/>
          </w:tcPr>
          <w:p w14:paraId="12F74DA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37%</w:t>
            </w:r>
          </w:p>
        </w:tc>
        <w:tc>
          <w:tcPr>
            <w:tcW w:w="1220" w:type="dxa"/>
            <w:shd w:val="clear" w:color="auto" w:fill="auto"/>
            <w:noWrap/>
            <w:vAlign w:val="center"/>
            <w:hideMark/>
          </w:tcPr>
          <w:p w14:paraId="346A28A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18%</w:t>
            </w:r>
          </w:p>
        </w:tc>
        <w:tc>
          <w:tcPr>
            <w:tcW w:w="1220" w:type="dxa"/>
            <w:shd w:val="clear" w:color="auto" w:fill="auto"/>
            <w:noWrap/>
            <w:vAlign w:val="center"/>
            <w:hideMark/>
          </w:tcPr>
          <w:p w14:paraId="67A7531B"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192C1FFB"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08020F67" w14:textId="77777777" w:rsidTr="00F2033C">
        <w:trPr>
          <w:trHeight w:val="290"/>
          <w:jc w:val="center"/>
        </w:trPr>
        <w:tc>
          <w:tcPr>
            <w:tcW w:w="960" w:type="dxa"/>
            <w:shd w:val="clear" w:color="auto" w:fill="auto"/>
            <w:noWrap/>
            <w:vAlign w:val="center"/>
            <w:hideMark/>
          </w:tcPr>
          <w:p w14:paraId="6F91C100"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2002</w:t>
            </w:r>
          </w:p>
        </w:tc>
        <w:tc>
          <w:tcPr>
            <w:tcW w:w="1220" w:type="dxa"/>
            <w:shd w:val="clear" w:color="auto" w:fill="auto"/>
            <w:noWrap/>
            <w:vAlign w:val="center"/>
            <w:hideMark/>
          </w:tcPr>
          <w:p w14:paraId="45A5FF28"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41%</w:t>
            </w:r>
          </w:p>
        </w:tc>
        <w:tc>
          <w:tcPr>
            <w:tcW w:w="1220" w:type="dxa"/>
            <w:shd w:val="clear" w:color="auto" w:fill="auto"/>
            <w:noWrap/>
            <w:vAlign w:val="center"/>
            <w:hideMark/>
          </w:tcPr>
          <w:p w14:paraId="0C3A799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30%</w:t>
            </w:r>
          </w:p>
        </w:tc>
        <w:tc>
          <w:tcPr>
            <w:tcW w:w="1220" w:type="dxa"/>
            <w:shd w:val="clear" w:color="auto" w:fill="auto"/>
            <w:noWrap/>
            <w:vAlign w:val="center"/>
            <w:hideMark/>
          </w:tcPr>
          <w:p w14:paraId="3A56C04A"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19%</w:t>
            </w:r>
          </w:p>
        </w:tc>
        <w:tc>
          <w:tcPr>
            <w:tcW w:w="1220" w:type="dxa"/>
            <w:shd w:val="clear" w:color="auto" w:fill="auto"/>
            <w:noWrap/>
            <w:vAlign w:val="center"/>
            <w:hideMark/>
          </w:tcPr>
          <w:p w14:paraId="2D1BA01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17D95798"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60A9258A" w14:textId="77777777" w:rsidTr="00F2033C">
        <w:trPr>
          <w:trHeight w:val="290"/>
          <w:jc w:val="center"/>
        </w:trPr>
        <w:tc>
          <w:tcPr>
            <w:tcW w:w="960" w:type="dxa"/>
            <w:shd w:val="clear" w:color="auto" w:fill="auto"/>
            <w:noWrap/>
            <w:vAlign w:val="center"/>
            <w:hideMark/>
          </w:tcPr>
          <w:p w14:paraId="5215AA33"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2003</w:t>
            </w:r>
          </w:p>
        </w:tc>
        <w:tc>
          <w:tcPr>
            <w:tcW w:w="1220" w:type="dxa"/>
            <w:shd w:val="clear" w:color="auto" w:fill="auto"/>
            <w:noWrap/>
            <w:vAlign w:val="center"/>
            <w:hideMark/>
          </w:tcPr>
          <w:p w14:paraId="242F40D1"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43%</w:t>
            </w:r>
          </w:p>
        </w:tc>
        <w:tc>
          <w:tcPr>
            <w:tcW w:w="1220" w:type="dxa"/>
            <w:shd w:val="clear" w:color="auto" w:fill="auto"/>
            <w:noWrap/>
            <w:vAlign w:val="center"/>
            <w:hideMark/>
          </w:tcPr>
          <w:p w14:paraId="43D6670B"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26%</w:t>
            </w:r>
          </w:p>
        </w:tc>
        <w:tc>
          <w:tcPr>
            <w:tcW w:w="1220" w:type="dxa"/>
            <w:shd w:val="clear" w:color="auto" w:fill="auto"/>
            <w:noWrap/>
            <w:vAlign w:val="center"/>
            <w:hideMark/>
          </w:tcPr>
          <w:p w14:paraId="133BF80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21%</w:t>
            </w:r>
          </w:p>
        </w:tc>
        <w:tc>
          <w:tcPr>
            <w:tcW w:w="1220" w:type="dxa"/>
            <w:shd w:val="clear" w:color="auto" w:fill="auto"/>
            <w:noWrap/>
            <w:vAlign w:val="center"/>
            <w:hideMark/>
          </w:tcPr>
          <w:p w14:paraId="7EA6CEA6"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w:t>
            </w:r>
          </w:p>
        </w:tc>
        <w:tc>
          <w:tcPr>
            <w:tcW w:w="1220" w:type="dxa"/>
            <w:shd w:val="clear" w:color="auto" w:fill="auto"/>
            <w:noWrap/>
            <w:vAlign w:val="center"/>
            <w:hideMark/>
          </w:tcPr>
          <w:p w14:paraId="6052B9A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478C9C9D" w14:textId="77777777" w:rsidTr="00F2033C">
        <w:trPr>
          <w:trHeight w:val="290"/>
          <w:jc w:val="center"/>
        </w:trPr>
        <w:tc>
          <w:tcPr>
            <w:tcW w:w="960" w:type="dxa"/>
            <w:shd w:val="clear" w:color="auto" w:fill="auto"/>
            <w:noWrap/>
            <w:vAlign w:val="center"/>
            <w:hideMark/>
          </w:tcPr>
          <w:p w14:paraId="54121239"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2004</w:t>
            </w:r>
          </w:p>
        </w:tc>
        <w:tc>
          <w:tcPr>
            <w:tcW w:w="1220" w:type="dxa"/>
            <w:shd w:val="clear" w:color="auto" w:fill="auto"/>
            <w:noWrap/>
            <w:vAlign w:val="center"/>
            <w:hideMark/>
          </w:tcPr>
          <w:p w14:paraId="5451EE8C"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45%</w:t>
            </w:r>
          </w:p>
        </w:tc>
        <w:tc>
          <w:tcPr>
            <w:tcW w:w="1220" w:type="dxa"/>
            <w:shd w:val="clear" w:color="auto" w:fill="auto"/>
            <w:noWrap/>
            <w:vAlign w:val="center"/>
            <w:hideMark/>
          </w:tcPr>
          <w:p w14:paraId="6639428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24%</w:t>
            </w:r>
          </w:p>
        </w:tc>
        <w:tc>
          <w:tcPr>
            <w:tcW w:w="1220" w:type="dxa"/>
            <w:shd w:val="clear" w:color="auto" w:fill="auto"/>
            <w:noWrap/>
            <w:vAlign w:val="center"/>
            <w:hideMark/>
          </w:tcPr>
          <w:p w14:paraId="3DBA34CC"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21%</w:t>
            </w:r>
          </w:p>
        </w:tc>
        <w:tc>
          <w:tcPr>
            <w:tcW w:w="1220" w:type="dxa"/>
            <w:shd w:val="clear" w:color="auto" w:fill="auto"/>
            <w:noWrap/>
            <w:vAlign w:val="center"/>
            <w:hideMark/>
          </w:tcPr>
          <w:p w14:paraId="2B884456"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w:t>
            </w:r>
          </w:p>
        </w:tc>
        <w:tc>
          <w:tcPr>
            <w:tcW w:w="1220" w:type="dxa"/>
            <w:shd w:val="clear" w:color="auto" w:fill="auto"/>
            <w:noWrap/>
            <w:vAlign w:val="center"/>
            <w:hideMark/>
          </w:tcPr>
          <w:p w14:paraId="25B262FF"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064EAC93" w14:textId="77777777" w:rsidTr="00F2033C">
        <w:trPr>
          <w:trHeight w:val="290"/>
          <w:jc w:val="center"/>
        </w:trPr>
        <w:tc>
          <w:tcPr>
            <w:tcW w:w="960" w:type="dxa"/>
            <w:shd w:val="clear" w:color="auto" w:fill="auto"/>
            <w:noWrap/>
            <w:vAlign w:val="center"/>
            <w:hideMark/>
          </w:tcPr>
          <w:p w14:paraId="786113EA"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2005</w:t>
            </w:r>
          </w:p>
        </w:tc>
        <w:tc>
          <w:tcPr>
            <w:tcW w:w="1220" w:type="dxa"/>
            <w:shd w:val="clear" w:color="auto" w:fill="auto"/>
            <w:noWrap/>
            <w:vAlign w:val="center"/>
            <w:hideMark/>
          </w:tcPr>
          <w:p w14:paraId="3F45F2E4"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46%</w:t>
            </w:r>
          </w:p>
        </w:tc>
        <w:tc>
          <w:tcPr>
            <w:tcW w:w="1220" w:type="dxa"/>
            <w:shd w:val="clear" w:color="auto" w:fill="auto"/>
            <w:noWrap/>
            <w:vAlign w:val="center"/>
            <w:hideMark/>
          </w:tcPr>
          <w:p w14:paraId="7983EA78"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22%</w:t>
            </w:r>
          </w:p>
        </w:tc>
        <w:tc>
          <w:tcPr>
            <w:tcW w:w="1220" w:type="dxa"/>
            <w:shd w:val="clear" w:color="auto" w:fill="auto"/>
            <w:noWrap/>
            <w:vAlign w:val="center"/>
            <w:hideMark/>
          </w:tcPr>
          <w:p w14:paraId="54C6EF09"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21%</w:t>
            </w:r>
          </w:p>
        </w:tc>
        <w:tc>
          <w:tcPr>
            <w:tcW w:w="1220" w:type="dxa"/>
            <w:shd w:val="clear" w:color="auto" w:fill="auto"/>
            <w:noWrap/>
            <w:vAlign w:val="center"/>
            <w:hideMark/>
          </w:tcPr>
          <w:p w14:paraId="6ECD0668"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w:t>
            </w:r>
          </w:p>
        </w:tc>
        <w:tc>
          <w:tcPr>
            <w:tcW w:w="1220" w:type="dxa"/>
            <w:shd w:val="clear" w:color="auto" w:fill="auto"/>
            <w:noWrap/>
            <w:vAlign w:val="center"/>
            <w:hideMark/>
          </w:tcPr>
          <w:p w14:paraId="4A7BB15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2BE3E623" w14:textId="77777777" w:rsidTr="00F2033C">
        <w:trPr>
          <w:trHeight w:val="290"/>
          <w:jc w:val="center"/>
        </w:trPr>
        <w:tc>
          <w:tcPr>
            <w:tcW w:w="960" w:type="dxa"/>
            <w:shd w:val="clear" w:color="auto" w:fill="auto"/>
            <w:noWrap/>
            <w:vAlign w:val="center"/>
            <w:hideMark/>
          </w:tcPr>
          <w:p w14:paraId="133F3AB4"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2006</w:t>
            </w:r>
          </w:p>
        </w:tc>
        <w:tc>
          <w:tcPr>
            <w:tcW w:w="1220" w:type="dxa"/>
            <w:shd w:val="clear" w:color="auto" w:fill="auto"/>
            <w:noWrap/>
            <w:vAlign w:val="center"/>
            <w:hideMark/>
          </w:tcPr>
          <w:p w14:paraId="7BBBC0D0"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46%</w:t>
            </w:r>
          </w:p>
        </w:tc>
        <w:tc>
          <w:tcPr>
            <w:tcW w:w="1220" w:type="dxa"/>
            <w:shd w:val="clear" w:color="auto" w:fill="auto"/>
            <w:noWrap/>
            <w:vAlign w:val="center"/>
            <w:hideMark/>
          </w:tcPr>
          <w:p w14:paraId="6CE0D8F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23%</w:t>
            </w:r>
          </w:p>
        </w:tc>
        <w:tc>
          <w:tcPr>
            <w:tcW w:w="1220" w:type="dxa"/>
            <w:shd w:val="clear" w:color="auto" w:fill="auto"/>
            <w:noWrap/>
            <w:vAlign w:val="center"/>
            <w:hideMark/>
          </w:tcPr>
          <w:p w14:paraId="08F0105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21%</w:t>
            </w:r>
          </w:p>
        </w:tc>
        <w:tc>
          <w:tcPr>
            <w:tcW w:w="1220" w:type="dxa"/>
            <w:shd w:val="clear" w:color="auto" w:fill="auto"/>
            <w:noWrap/>
            <w:vAlign w:val="center"/>
            <w:hideMark/>
          </w:tcPr>
          <w:p w14:paraId="7CAF8B48"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w:t>
            </w:r>
          </w:p>
        </w:tc>
        <w:tc>
          <w:tcPr>
            <w:tcW w:w="1220" w:type="dxa"/>
            <w:shd w:val="clear" w:color="auto" w:fill="auto"/>
            <w:noWrap/>
            <w:vAlign w:val="center"/>
            <w:hideMark/>
          </w:tcPr>
          <w:p w14:paraId="757F336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1026EEBA" w14:textId="77777777" w:rsidTr="00F2033C">
        <w:trPr>
          <w:trHeight w:val="290"/>
          <w:jc w:val="center"/>
        </w:trPr>
        <w:tc>
          <w:tcPr>
            <w:tcW w:w="960" w:type="dxa"/>
            <w:shd w:val="clear" w:color="auto" w:fill="auto"/>
            <w:noWrap/>
            <w:vAlign w:val="center"/>
            <w:hideMark/>
          </w:tcPr>
          <w:p w14:paraId="61009FF5"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lastRenderedPageBreak/>
              <w:t>2007</w:t>
            </w:r>
          </w:p>
        </w:tc>
        <w:tc>
          <w:tcPr>
            <w:tcW w:w="1220" w:type="dxa"/>
            <w:shd w:val="clear" w:color="auto" w:fill="auto"/>
            <w:noWrap/>
            <w:vAlign w:val="center"/>
            <w:hideMark/>
          </w:tcPr>
          <w:p w14:paraId="700572A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43%</w:t>
            </w:r>
          </w:p>
        </w:tc>
        <w:tc>
          <w:tcPr>
            <w:tcW w:w="1220" w:type="dxa"/>
            <w:shd w:val="clear" w:color="auto" w:fill="auto"/>
            <w:noWrap/>
            <w:vAlign w:val="center"/>
            <w:hideMark/>
          </w:tcPr>
          <w:p w14:paraId="1C0BC1F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28%</w:t>
            </w:r>
          </w:p>
        </w:tc>
        <w:tc>
          <w:tcPr>
            <w:tcW w:w="1220" w:type="dxa"/>
            <w:shd w:val="clear" w:color="auto" w:fill="auto"/>
            <w:noWrap/>
            <w:vAlign w:val="center"/>
            <w:hideMark/>
          </w:tcPr>
          <w:p w14:paraId="0A1DDA9C"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19%</w:t>
            </w:r>
          </w:p>
        </w:tc>
        <w:tc>
          <w:tcPr>
            <w:tcW w:w="1220" w:type="dxa"/>
            <w:shd w:val="clear" w:color="auto" w:fill="auto"/>
            <w:noWrap/>
            <w:vAlign w:val="center"/>
            <w:hideMark/>
          </w:tcPr>
          <w:p w14:paraId="3658420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72E9D896"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7C3E1E98" w14:textId="77777777" w:rsidTr="00F2033C">
        <w:trPr>
          <w:trHeight w:val="290"/>
          <w:jc w:val="center"/>
        </w:trPr>
        <w:tc>
          <w:tcPr>
            <w:tcW w:w="960" w:type="dxa"/>
            <w:shd w:val="clear" w:color="auto" w:fill="auto"/>
            <w:noWrap/>
            <w:vAlign w:val="center"/>
            <w:hideMark/>
          </w:tcPr>
          <w:p w14:paraId="40A10F57"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2008</w:t>
            </w:r>
          </w:p>
        </w:tc>
        <w:tc>
          <w:tcPr>
            <w:tcW w:w="1220" w:type="dxa"/>
            <w:shd w:val="clear" w:color="auto" w:fill="auto"/>
            <w:noWrap/>
            <w:vAlign w:val="center"/>
            <w:hideMark/>
          </w:tcPr>
          <w:p w14:paraId="7DD6582A"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40%</w:t>
            </w:r>
          </w:p>
        </w:tc>
        <w:tc>
          <w:tcPr>
            <w:tcW w:w="1220" w:type="dxa"/>
            <w:shd w:val="clear" w:color="auto" w:fill="auto"/>
            <w:noWrap/>
            <w:vAlign w:val="center"/>
            <w:hideMark/>
          </w:tcPr>
          <w:p w14:paraId="2301421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34%</w:t>
            </w:r>
          </w:p>
        </w:tc>
        <w:tc>
          <w:tcPr>
            <w:tcW w:w="1220" w:type="dxa"/>
            <w:shd w:val="clear" w:color="auto" w:fill="auto"/>
            <w:noWrap/>
            <w:vAlign w:val="center"/>
            <w:hideMark/>
          </w:tcPr>
          <w:p w14:paraId="025219F2"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17%</w:t>
            </w:r>
          </w:p>
        </w:tc>
        <w:tc>
          <w:tcPr>
            <w:tcW w:w="1220" w:type="dxa"/>
            <w:shd w:val="clear" w:color="auto" w:fill="auto"/>
            <w:noWrap/>
            <w:vAlign w:val="center"/>
            <w:hideMark/>
          </w:tcPr>
          <w:p w14:paraId="22BA105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57128326"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288C4D77" w14:textId="77777777" w:rsidTr="00F2033C">
        <w:trPr>
          <w:trHeight w:val="290"/>
          <w:jc w:val="center"/>
        </w:trPr>
        <w:tc>
          <w:tcPr>
            <w:tcW w:w="960" w:type="dxa"/>
            <w:shd w:val="clear" w:color="auto" w:fill="auto"/>
            <w:noWrap/>
            <w:vAlign w:val="center"/>
            <w:hideMark/>
          </w:tcPr>
          <w:p w14:paraId="7628AC98"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2009</w:t>
            </w:r>
          </w:p>
        </w:tc>
        <w:tc>
          <w:tcPr>
            <w:tcW w:w="1220" w:type="dxa"/>
            <w:shd w:val="clear" w:color="auto" w:fill="auto"/>
            <w:noWrap/>
            <w:vAlign w:val="center"/>
            <w:hideMark/>
          </w:tcPr>
          <w:p w14:paraId="11723B5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39%</w:t>
            </w:r>
          </w:p>
        </w:tc>
        <w:tc>
          <w:tcPr>
            <w:tcW w:w="1220" w:type="dxa"/>
            <w:shd w:val="clear" w:color="auto" w:fill="auto"/>
            <w:noWrap/>
            <w:vAlign w:val="center"/>
            <w:hideMark/>
          </w:tcPr>
          <w:p w14:paraId="665AE5F2"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38%</w:t>
            </w:r>
          </w:p>
        </w:tc>
        <w:tc>
          <w:tcPr>
            <w:tcW w:w="1220" w:type="dxa"/>
            <w:shd w:val="clear" w:color="auto" w:fill="auto"/>
            <w:noWrap/>
            <w:vAlign w:val="center"/>
            <w:hideMark/>
          </w:tcPr>
          <w:p w14:paraId="48346C59"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15%</w:t>
            </w:r>
          </w:p>
        </w:tc>
        <w:tc>
          <w:tcPr>
            <w:tcW w:w="1220" w:type="dxa"/>
            <w:shd w:val="clear" w:color="auto" w:fill="auto"/>
            <w:noWrap/>
            <w:vAlign w:val="center"/>
            <w:hideMark/>
          </w:tcPr>
          <w:p w14:paraId="1E2D80B4"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8%</w:t>
            </w:r>
          </w:p>
        </w:tc>
        <w:tc>
          <w:tcPr>
            <w:tcW w:w="1220" w:type="dxa"/>
            <w:shd w:val="clear" w:color="auto" w:fill="auto"/>
            <w:noWrap/>
            <w:vAlign w:val="center"/>
            <w:hideMark/>
          </w:tcPr>
          <w:p w14:paraId="52AF4238"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103DBF" w:rsidRPr="009F0665" w14:paraId="56AB206C" w14:textId="77777777" w:rsidTr="00F2033C">
        <w:trPr>
          <w:trHeight w:val="290"/>
          <w:jc w:val="center"/>
        </w:trPr>
        <w:tc>
          <w:tcPr>
            <w:tcW w:w="960" w:type="dxa"/>
            <w:shd w:val="clear" w:color="auto" w:fill="FAE2D5" w:themeFill="accent2" w:themeFillTint="33"/>
            <w:noWrap/>
            <w:vAlign w:val="center"/>
            <w:hideMark/>
          </w:tcPr>
          <w:p w14:paraId="29849005"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2010</w:t>
            </w:r>
          </w:p>
        </w:tc>
        <w:tc>
          <w:tcPr>
            <w:tcW w:w="1220" w:type="dxa"/>
            <w:shd w:val="clear" w:color="auto" w:fill="FAE2D5" w:themeFill="accent2" w:themeFillTint="33"/>
            <w:noWrap/>
            <w:vAlign w:val="center"/>
            <w:hideMark/>
          </w:tcPr>
          <w:p w14:paraId="5D95D5B9"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42%</w:t>
            </w:r>
          </w:p>
        </w:tc>
        <w:tc>
          <w:tcPr>
            <w:tcW w:w="1220" w:type="dxa"/>
            <w:shd w:val="clear" w:color="auto" w:fill="FAE2D5" w:themeFill="accent2" w:themeFillTint="33"/>
            <w:noWrap/>
            <w:vAlign w:val="center"/>
            <w:hideMark/>
          </w:tcPr>
          <w:p w14:paraId="5835061A"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35%</w:t>
            </w:r>
          </w:p>
        </w:tc>
        <w:tc>
          <w:tcPr>
            <w:tcW w:w="1220" w:type="dxa"/>
            <w:shd w:val="clear" w:color="auto" w:fill="FAE2D5" w:themeFill="accent2" w:themeFillTint="33"/>
            <w:noWrap/>
            <w:vAlign w:val="center"/>
            <w:hideMark/>
          </w:tcPr>
          <w:p w14:paraId="053802DE"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15%</w:t>
            </w:r>
          </w:p>
        </w:tc>
        <w:tc>
          <w:tcPr>
            <w:tcW w:w="1220" w:type="dxa"/>
            <w:shd w:val="clear" w:color="auto" w:fill="FAE2D5" w:themeFill="accent2" w:themeFillTint="33"/>
            <w:noWrap/>
            <w:vAlign w:val="center"/>
            <w:hideMark/>
          </w:tcPr>
          <w:p w14:paraId="50D2B5F2"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8%</w:t>
            </w:r>
          </w:p>
        </w:tc>
        <w:tc>
          <w:tcPr>
            <w:tcW w:w="1220" w:type="dxa"/>
            <w:shd w:val="clear" w:color="auto" w:fill="FAE2D5" w:themeFill="accent2" w:themeFillTint="33"/>
            <w:noWrap/>
            <w:vAlign w:val="center"/>
            <w:hideMark/>
          </w:tcPr>
          <w:p w14:paraId="3E9AE0B4"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502DB949" w14:textId="77777777" w:rsidTr="00F2033C">
        <w:trPr>
          <w:trHeight w:val="290"/>
          <w:jc w:val="center"/>
        </w:trPr>
        <w:tc>
          <w:tcPr>
            <w:tcW w:w="960" w:type="dxa"/>
            <w:shd w:val="clear" w:color="auto" w:fill="auto"/>
            <w:noWrap/>
            <w:vAlign w:val="center"/>
            <w:hideMark/>
          </w:tcPr>
          <w:p w14:paraId="7E07B090"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2011</w:t>
            </w:r>
          </w:p>
        </w:tc>
        <w:tc>
          <w:tcPr>
            <w:tcW w:w="1220" w:type="dxa"/>
            <w:shd w:val="clear" w:color="auto" w:fill="auto"/>
            <w:noWrap/>
            <w:vAlign w:val="center"/>
            <w:hideMark/>
          </w:tcPr>
          <w:p w14:paraId="080D82A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42%</w:t>
            </w:r>
          </w:p>
        </w:tc>
        <w:tc>
          <w:tcPr>
            <w:tcW w:w="1220" w:type="dxa"/>
            <w:shd w:val="clear" w:color="auto" w:fill="auto"/>
            <w:noWrap/>
            <w:vAlign w:val="center"/>
            <w:hideMark/>
          </w:tcPr>
          <w:p w14:paraId="0959B10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34%</w:t>
            </w:r>
          </w:p>
        </w:tc>
        <w:tc>
          <w:tcPr>
            <w:tcW w:w="1220" w:type="dxa"/>
            <w:shd w:val="clear" w:color="auto" w:fill="auto"/>
            <w:noWrap/>
            <w:vAlign w:val="center"/>
            <w:hideMark/>
          </w:tcPr>
          <w:p w14:paraId="50E874F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15%</w:t>
            </w:r>
          </w:p>
        </w:tc>
        <w:tc>
          <w:tcPr>
            <w:tcW w:w="1220" w:type="dxa"/>
            <w:shd w:val="clear" w:color="auto" w:fill="auto"/>
            <w:noWrap/>
            <w:vAlign w:val="center"/>
            <w:hideMark/>
          </w:tcPr>
          <w:p w14:paraId="00DCF0E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371232A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6EFBC735" w14:textId="77777777" w:rsidTr="00F2033C">
        <w:trPr>
          <w:trHeight w:val="290"/>
          <w:jc w:val="center"/>
        </w:trPr>
        <w:tc>
          <w:tcPr>
            <w:tcW w:w="960" w:type="dxa"/>
            <w:shd w:val="clear" w:color="auto" w:fill="auto"/>
            <w:noWrap/>
            <w:vAlign w:val="center"/>
            <w:hideMark/>
          </w:tcPr>
          <w:p w14:paraId="052A068E"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2012</w:t>
            </w:r>
          </w:p>
        </w:tc>
        <w:tc>
          <w:tcPr>
            <w:tcW w:w="1220" w:type="dxa"/>
            <w:shd w:val="clear" w:color="auto" w:fill="auto"/>
            <w:noWrap/>
            <w:vAlign w:val="center"/>
            <w:hideMark/>
          </w:tcPr>
          <w:p w14:paraId="384A31AE"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43%</w:t>
            </w:r>
          </w:p>
        </w:tc>
        <w:tc>
          <w:tcPr>
            <w:tcW w:w="1220" w:type="dxa"/>
            <w:shd w:val="clear" w:color="auto" w:fill="auto"/>
            <w:noWrap/>
            <w:vAlign w:val="center"/>
            <w:hideMark/>
          </w:tcPr>
          <w:p w14:paraId="1160AD9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33%</w:t>
            </w:r>
          </w:p>
        </w:tc>
        <w:tc>
          <w:tcPr>
            <w:tcW w:w="1220" w:type="dxa"/>
            <w:shd w:val="clear" w:color="auto" w:fill="auto"/>
            <w:noWrap/>
            <w:vAlign w:val="center"/>
            <w:hideMark/>
          </w:tcPr>
          <w:p w14:paraId="44F12BD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15%</w:t>
            </w:r>
          </w:p>
        </w:tc>
        <w:tc>
          <w:tcPr>
            <w:tcW w:w="1220" w:type="dxa"/>
            <w:shd w:val="clear" w:color="auto" w:fill="auto"/>
            <w:noWrap/>
            <w:vAlign w:val="center"/>
            <w:hideMark/>
          </w:tcPr>
          <w:p w14:paraId="732C903A"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0FA6043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1EED8339" w14:textId="77777777" w:rsidTr="00F2033C">
        <w:trPr>
          <w:trHeight w:val="290"/>
          <w:jc w:val="center"/>
        </w:trPr>
        <w:tc>
          <w:tcPr>
            <w:tcW w:w="960" w:type="dxa"/>
            <w:shd w:val="clear" w:color="auto" w:fill="auto"/>
            <w:noWrap/>
            <w:vAlign w:val="center"/>
            <w:hideMark/>
          </w:tcPr>
          <w:p w14:paraId="4C161C50"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2013</w:t>
            </w:r>
          </w:p>
        </w:tc>
        <w:tc>
          <w:tcPr>
            <w:tcW w:w="1220" w:type="dxa"/>
            <w:shd w:val="clear" w:color="auto" w:fill="auto"/>
            <w:noWrap/>
            <w:vAlign w:val="center"/>
            <w:hideMark/>
          </w:tcPr>
          <w:p w14:paraId="0748FDCF"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43%</w:t>
            </w:r>
          </w:p>
        </w:tc>
        <w:tc>
          <w:tcPr>
            <w:tcW w:w="1220" w:type="dxa"/>
            <w:shd w:val="clear" w:color="auto" w:fill="auto"/>
            <w:noWrap/>
            <w:vAlign w:val="center"/>
            <w:hideMark/>
          </w:tcPr>
          <w:p w14:paraId="163DB26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33%</w:t>
            </w:r>
          </w:p>
        </w:tc>
        <w:tc>
          <w:tcPr>
            <w:tcW w:w="1220" w:type="dxa"/>
            <w:shd w:val="clear" w:color="auto" w:fill="auto"/>
            <w:noWrap/>
            <w:vAlign w:val="center"/>
            <w:hideMark/>
          </w:tcPr>
          <w:p w14:paraId="57F13EAE"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15%</w:t>
            </w:r>
          </w:p>
        </w:tc>
        <w:tc>
          <w:tcPr>
            <w:tcW w:w="1220" w:type="dxa"/>
            <w:shd w:val="clear" w:color="auto" w:fill="auto"/>
            <w:noWrap/>
            <w:vAlign w:val="center"/>
            <w:hideMark/>
          </w:tcPr>
          <w:p w14:paraId="5CFE745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28C1693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2FE01E4F" w14:textId="77777777" w:rsidTr="00F2033C">
        <w:trPr>
          <w:trHeight w:val="290"/>
          <w:jc w:val="center"/>
        </w:trPr>
        <w:tc>
          <w:tcPr>
            <w:tcW w:w="960" w:type="dxa"/>
            <w:shd w:val="clear" w:color="auto" w:fill="auto"/>
            <w:noWrap/>
            <w:vAlign w:val="center"/>
            <w:hideMark/>
          </w:tcPr>
          <w:p w14:paraId="18CFF64E"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2014</w:t>
            </w:r>
          </w:p>
        </w:tc>
        <w:tc>
          <w:tcPr>
            <w:tcW w:w="1220" w:type="dxa"/>
            <w:shd w:val="clear" w:color="auto" w:fill="auto"/>
            <w:noWrap/>
            <w:vAlign w:val="center"/>
            <w:hideMark/>
          </w:tcPr>
          <w:p w14:paraId="7D28C49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42%</w:t>
            </w:r>
          </w:p>
        </w:tc>
        <w:tc>
          <w:tcPr>
            <w:tcW w:w="1220" w:type="dxa"/>
            <w:shd w:val="clear" w:color="auto" w:fill="auto"/>
            <w:noWrap/>
            <w:vAlign w:val="center"/>
            <w:hideMark/>
          </w:tcPr>
          <w:p w14:paraId="200A7574"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34%</w:t>
            </w:r>
          </w:p>
        </w:tc>
        <w:tc>
          <w:tcPr>
            <w:tcW w:w="1220" w:type="dxa"/>
            <w:shd w:val="clear" w:color="auto" w:fill="auto"/>
            <w:noWrap/>
            <w:vAlign w:val="center"/>
            <w:hideMark/>
          </w:tcPr>
          <w:p w14:paraId="4C48973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16%</w:t>
            </w:r>
          </w:p>
        </w:tc>
        <w:tc>
          <w:tcPr>
            <w:tcW w:w="1220" w:type="dxa"/>
            <w:shd w:val="clear" w:color="auto" w:fill="auto"/>
            <w:noWrap/>
            <w:vAlign w:val="center"/>
            <w:hideMark/>
          </w:tcPr>
          <w:p w14:paraId="17DDFC0A"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3A1AC40E"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26CEB390" w14:textId="77777777" w:rsidTr="00F2033C">
        <w:trPr>
          <w:trHeight w:val="290"/>
          <w:jc w:val="center"/>
        </w:trPr>
        <w:tc>
          <w:tcPr>
            <w:tcW w:w="960" w:type="dxa"/>
            <w:shd w:val="clear" w:color="auto" w:fill="auto"/>
            <w:noWrap/>
            <w:vAlign w:val="center"/>
            <w:hideMark/>
          </w:tcPr>
          <w:p w14:paraId="43F792A4"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2015</w:t>
            </w:r>
          </w:p>
        </w:tc>
        <w:tc>
          <w:tcPr>
            <w:tcW w:w="1220" w:type="dxa"/>
            <w:shd w:val="clear" w:color="auto" w:fill="auto"/>
            <w:noWrap/>
            <w:vAlign w:val="center"/>
            <w:hideMark/>
          </w:tcPr>
          <w:p w14:paraId="0BC18488"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39%</w:t>
            </w:r>
          </w:p>
        </w:tc>
        <w:tc>
          <w:tcPr>
            <w:tcW w:w="1220" w:type="dxa"/>
            <w:shd w:val="clear" w:color="auto" w:fill="auto"/>
            <w:noWrap/>
            <w:vAlign w:val="center"/>
            <w:hideMark/>
          </w:tcPr>
          <w:p w14:paraId="1A061EEA"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37%</w:t>
            </w:r>
          </w:p>
        </w:tc>
        <w:tc>
          <w:tcPr>
            <w:tcW w:w="1220" w:type="dxa"/>
            <w:shd w:val="clear" w:color="auto" w:fill="auto"/>
            <w:noWrap/>
            <w:vAlign w:val="center"/>
            <w:hideMark/>
          </w:tcPr>
          <w:p w14:paraId="77DCB1C0"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16%</w:t>
            </w:r>
          </w:p>
        </w:tc>
        <w:tc>
          <w:tcPr>
            <w:tcW w:w="1220" w:type="dxa"/>
            <w:shd w:val="clear" w:color="auto" w:fill="auto"/>
            <w:noWrap/>
            <w:vAlign w:val="center"/>
            <w:hideMark/>
          </w:tcPr>
          <w:p w14:paraId="689BFC2C"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432613B4"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4C6A8B17" w14:textId="77777777" w:rsidTr="00F2033C">
        <w:trPr>
          <w:trHeight w:val="290"/>
          <w:jc w:val="center"/>
        </w:trPr>
        <w:tc>
          <w:tcPr>
            <w:tcW w:w="960" w:type="dxa"/>
            <w:shd w:val="clear" w:color="auto" w:fill="auto"/>
            <w:noWrap/>
            <w:vAlign w:val="center"/>
            <w:hideMark/>
          </w:tcPr>
          <w:p w14:paraId="62CB669D"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2016</w:t>
            </w:r>
          </w:p>
        </w:tc>
        <w:tc>
          <w:tcPr>
            <w:tcW w:w="1220" w:type="dxa"/>
            <w:shd w:val="clear" w:color="auto" w:fill="auto"/>
            <w:noWrap/>
            <w:vAlign w:val="center"/>
            <w:hideMark/>
          </w:tcPr>
          <w:p w14:paraId="302C83EE"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39%</w:t>
            </w:r>
          </w:p>
        </w:tc>
        <w:tc>
          <w:tcPr>
            <w:tcW w:w="1220" w:type="dxa"/>
            <w:shd w:val="clear" w:color="auto" w:fill="auto"/>
            <w:noWrap/>
            <w:vAlign w:val="center"/>
            <w:hideMark/>
          </w:tcPr>
          <w:p w14:paraId="36CE14B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37%</w:t>
            </w:r>
          </w:p>
        </w:tc>
        <w:tc>
          <w:tcPr>
            <w:tcW w:w="1220" w:type="dxa"/>
            <w:shd w:val="clear" w:color="auto" w:fill="auto"/>
            <w:noWrap/>
            <w:vAlign w:val="center"/>
            <w:hideMark/>
          </w:tcPr>
          <w:p w14:paraId="1AFD360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16%</w:t>
            </w:r>
          </w:p>
        </w:tc>
        <w:tc>
          <w:tcPr>
            <w:tcW w:w="1220" w:type="dxa"/>
            <w:shd w:val="clear" w:color="auto" w:fill="auto"/>
            <w:noWrap/>
            <w:vAlign w:val="center"/>
            <w:hideMark/>
          </w:tcPr>
          <w:p w14:paraId="7F0E6EF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67C35A42"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12F6B890" w14:textId="77777777" w:rsidTr="00F2033C">
        <w:trPr>
          <w:trHeight w:val="290"/>
          <w:jc w:val="center"/>
        </w:trPr>
        <w:tc>
          <w:tcPr>
            <w:tcW w:w="960" w:type="dxa"/>
            <w:shd w:val="clear" w:color="auto" w:fill="auto"/>
            <w:noWrap/>
            <w:vAlign w:val="center"/>
            <w:hideMark/>
          </w:tcPr>
          <w:p w14:paraId="2E66C786"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2017</w:t>
            </w:r>
          </w:p>
        </w:tc>
        <w:tc>
          <w:tcPr>
            <w:tcW w:w="1220" w:type="dxa"/>
            <w:shd w:val="clear" w:color="auto" w:fill="auto"/>
            <w:noWrap/>
            <w:vAlign w:val="center"/>
            <w:hideMark/>
          </w:tcPr>
          <w:p w14:paraId="3801352C"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39%</w:t>
            </w:r>
          </w:p>
        </w:tc>
        <w:tc>
          <w:tcPr>
            <w:tcW w:w="1220" w:type="dxa"/>
            <w:shd w:val="clear" w:color="auto" w:fill="auto"/>
            <w:noWrap/>
            <w:vAlign w:val="center"/>
            <w:hideMark/>
          </w:tcPr>
          <w:p w14:paraId="2161BC7E"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36%</w:t>
            </w:r>
          </w:p>
        </w:tc>
        <w:tc>
          <w:tcPr>
            <w:tcW w:w="1220" w:type="dxa"/>
            <w:shd w:val="clear" w:color="auto" w:fill="auto"/>
            <w:noWrap/>
            <w:vAlign w:val="center"/>
            <w:hideMark/>
          </w:tcPr>
          <w:p w14:paraId="3D88E9A4"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16%</w:t>
            </w:r>
          </w:p>
        </w:tc>
        <w:tc>
          <w:tcPr>
            <w:tcW w:w="1220" w:type="dxa"/>
            <w:shd w:val="clear" w:color="auto" w:fill="auto"/>
            <w:noWrap/>
            <w:vAlign w:val="center"/>
            <w:hideMark/>
          </w:tcPr>
          <w:p w14:paraId="48781770"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4227FBE1"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2C0E5EC7" w14:textId="77777777" w:rsidTr="00F2033C">
        <w:trPr>
          <w:trHeight w:val="290"/>
          <w:jc w:val="center"/>
        </w:trPr>
        <w:tc>
          <w:tcPr>
            <w:tcW w:w="960" w:type="dxa"/>
            <w:shd w:val="clear" w:color="auto" w:fill="auto"/>
            <w:noWrap/>
            <w:vAlign w:val="center"/>
            <w:hideMark/>
          </w:tcPr>
          <w:p w14:paraId="1E132D47"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2018</w:t>
            </w:r>
          </w:p>
        </w:tc>
        <w:tc>
          <w:tcPr>
            <w:tcW w:w="1220" w:type="dxa"/>
            <w:shd w:val="clear" w:color="auto" w:fill="auto"/>
            <w:noWrap/>
            <w:vAlign w:val="center"/>
            <w:hideMark/>
          </w:tcPr>
          <w:p w14:paraId="60BCC2C6"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40%</w:t>
            </w:r>
          </w:p>
        </w:tc>
        <w:tc>
          <w:tcPr>
            <w:tcW w:w="1220" w:type="dxa"/>
            <w:shd w:val="clear" w:color="auto" w:fill="auto"/>
            <w:noWrap/>
            <w:vAlign w:val="center"/>
            <w:hideMark/>
          </w:tcPr>
          <w:p w14:paraId="448918CB"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35%</w:t>
            </w:r>
          </w:p>
        </w:tc>
        <w:tc>
          <w:tcPr>
            <w:tcW w:w="1220" w:type="dxa"/>
            <w:shd w:val="clear" w:color="auto" w:fill="auto"/>
            <w:noWrap/>
            <w:vAlign w:val="center"/>
            <w:hideMark/>
          </w:tcPr>
          <w:p w14:paraId="5A890F0B"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16%</w:t>
            </w:r>
          </w:p>
        </w:tc>
        <w:tc>
          <w:tcPr>
            <w:tcW w:w="1220" w:type="dxa"/>
            <w:shd w:val="clear" w:color="auto" w:fill="auto"/>
            <w:noWrap/>
            <w:vAlign w:val="center"/>
            <w:hideMark/>
          </w:tcPr>
          <w:p w14:paraId="5712F708"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0D9BC62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0054B1DF" w14:textId="77777777" w:rsidTr="00F2033C">
        <w:trPr>
          <w:trHeight w:val="290"/>
          <w:jc w:val="center"/>
        </w:trPr>
        <w:tc>
          <w:tcPr>
            <w:tcW w:w="960" w:type="dxa"/>
            <w:shd w:val="clear" w:color="auto" w:fill="auto"/>
            <w:noWrap/>
            <w:vAlign w:val="center"/>
            <w:hideMark/>
          </w:tcPr>
          <w:p w14:paraId="3E56B523"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2019</w:t>
            </w:r>
          </w:p>
        </w:tc>
        <w:tc>
          <w:tcPr>
            <w:tcW w:w="1220" w:type="dxa"/>
            <w:shd w:val="clear" w:color="auto" w:fill="auto"/>
            <w:noWrap/>
            <w:vAlign w:val="center"/>
            <w:hideMark/>
          </w:tcPr>
          <w:p w14:paraId="1F6FC61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38%</w:t>
            </w:r>
          </w:p>
        </w:tc>
        <w:tc>
          <w:tcPr>
            <w:tcW w:w="1220" w:type="dxa"/>
            <w:shd w:val="clear" w:color="auto" w:fill="auto"/>
            <w:noWrap/>
            <w:vAlign w:val="center"/>
            <w:hideMark/>
          </w:tcPr>
          <w:p w14:paraId="1E0E8FE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36%</w:t>
            </w:r>
          </w:p>
        </w:tc>
        <w:tc>
          <w:tcPr>
            <w:tcW w:w="1220" w:type="dxa"/>
            <w:shd w:val="clear" w:color="auto" w:fill="auto"/>
            <w:noWrap/>
            <w:vAlign w:val="center"/>
            <w:hideMark/>
          </w:tcPr>
          <w:p w14:paraId="2FB2A7CB"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17%</w:t>
            </w:r>
          </w:p>
        </w:tc>
        <w:tc>
          <w:tcPr>
            <w:tcW w:w="1220" w:type="dxa"/>
            <w:shd w:val="clear" w:color="auto" w:fill="auto"/>
            <w:noWrap/>
            <w:vAlign w:val="center"/>
            <w:hideMark/>
          </w:tcPr>
          <w:p w14:paraId="73DBF6A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8%</w:t>
            </w:r>
          </w:p>
        </w:tc>
        <w:tc>
          <w:tcPr>
            <w:tcW w:w="1220" w:type="dxa"/>
            <w:shd w:val="clear" w:color="auto" w:fill="auto"/>
            <w:noWrap/>
            <w:vAlign w:val="center"/>
            <w:hideMark/>
          </w:tcPr>
          <w:p w14:paraId="589251B0"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103DBF" w:rsidRPr="009F0665" w14:paraId="208AC433" w14:textId="77777777" w:rsidTr="00F2033C">
        <w:trPr>
          <w:trHeight w:val="290"/>
          <w:jc w:val="center"/>
        </w:trPr>
        <w:tc>
          <w:tcPr>
            <w:tcW w:w="960" w:type="dxa"/>
            <w:shd w:val="clear" w:color="auto" w:fill="FAE2D5" w:themeFill="accent2" w:themeFillTint="33"/>
            <w:noWrap/>
            <w:vAlign w:val="center"/>
            <w:hideMark/>
          </w:tcPr>
          <w:p w14:paraId="4C385ED3"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2020</w:t>
            </w:r>
          </w:p>
        </w:tc>
        <w:tc>
          <w:tcPr>
            <w:tcW w:w="1220" w:type="dxa"/>
            <w:shd w:val="clear" w:color="auto" w:fill="FAE2D5" w:themeFill="accent2" w:themeFillTint="33"/>
            <w:noWrap/>
            <w:vAlign w:val="center"/>
            <w:hideMark/>
          </w:tcPr>
          <w:p w14:paraId="299AA1F1"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38%</w:t>
            </w:r>
          </w:p>
        </w:tc>
        <w:tc>
          <w:tcPr>
            <w:tcW w:w="1220" w:type="dxa"/>
            <w:shd w:val="clear" w:color="auto" w:fill="FAE2D5" w:themeFill="accent2" w:themeFillTint="33"/>
            <w:noWrap/>
            <w:vAlign w:val="center"/>
            <w:hideMark/>
          </w:tcPr>
          <w:p w14:paraId="2C4361E2"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35%</w:t>
            </w:r>
          </w:p>
        </w:tc>
        <w:tc>
          <w:tcPr>
            <w:tcW w:w="1220" w:type="dxa"/>
            <w:shd w:val="clear" w:color="auto" w:fill="FAE2D5" w:themeFill="accent2" w:themeFillTint="33"/>
            <w:noWrap/>
            <w:vAlign w:val="center"/>
            <w:hideMark/>
          </w:tcPr>
          <w:p w14:paraId="300EF1F2"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17%</w:t>
            </w:r>
          </w:p>
        </w:tc>
        <w:tc>
          <w:tcPr>
            <w:tcW w:w="1220" w:type="dxa"/>
            <w:shd w:val="clear" w:color="auto" w:fill="FAE2D5" w:themeFill="accent2" w:themeFillTint="33"/>
            <w:noWrap/>
            <w:vAlign w:val="center"/>
            <w:hideMark/>
          </w:tcPr>
          <w:p w14:paraId="4864986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FAE2D5" w:themeFill="accent2" w:themeFillTint="33"/>
            <w:noWrap/>
            <w:vAlign w:val="center"/>
            <w:hideMark/>
          </w:tcPr>
          <w:p w14:paraId="56373F78"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5B589C70" w14:textId="77777777" w:rsidTr="00F2033C">
        <w:trPr>
          <w:trHeight w:val="290"/>
          <w:jc w:val="center"/>
        </w:trPr>
        <w:tc>
          <w:tcPr>
            <w:tcW w:w="960" w:type="dxa"/>
            <w:shd w:val="clear" w:color="auto" w:fill="auto"/>
            <w:noWrap/>
            <w:vAlign w:val="center"/>
            <w:hideMark/>
          </w:tcPr>
          <w:p w14:paraId="069597B2"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2021</w:t>
            </w:r>
          </w:p>
        </w:tc>
        <w:tc>
          <w:tcPr>
            <w:tcW w:w="1220" w:type="dxa"/>
            <w:shd w:val="clear" w:color="auto" w:fill="auto"/>
            <w:noWrap/>
            <w:vAlign w:val="center"/>
            <w:hideMark/>
          </w:tcPr>
          <w:p w14:paraId="33E93FDD"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39%</w:t>
            </w:r>
          </w:p>
        </w:tc>
        <w:tc>
          <w:tcPr>
            <w:tcW w:w="1220" w:type="dxa"/>
            <w:shd w:val="clear" w:color="auto" w:fill="auto"/>
            <w:noWrap/>
            <w:vAlign w:val="center"/>
            <w:hideMark/>
          </w:tcPr>
          <w:p w14:paraId="1643BD9B"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35%</w:t>
            </w:r>
          </w:p>
        </w:tc>
        <w:tc>
          <w:tcPr>
            <w:tcW w:w="1220" w:type="dxa"/>
            <w:shd w:val="clear" w:color="auto" w:fill="auto"/>
            <w:noWrap/>
            <w:vAlign w:val="center"/>
            <w:hideMark/>
          </w:tcPr>
          <w:p w14:paraId="3FCD9F40"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18%</w:t>
            </w:r>
          </w:p>
        </w:tc>
        <w:tc>
          <w:tcPr>
            <w:tcW w:w="1220" w:type="dxa"/>
            <w:shd w:val="clear" w:color="auto" w:fill="auto"/>
            <w:noWrap/>
            <w:vAlign w:val="center"/>
            <w:hideMark/>
          </w:tcPr>
          <w:p w14:paraId="4E634014"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9%</w:t>
            </w:r>
          </w:p>
        </w:tc>
        <w:tc>
          <w:tcPr>
            <w:tcW w:w="1220" w:type="dxa"/>
            <w:shd w:val="clear" w:color="auto" w:fill="auto"/>
            <w:noWrap/>
            <w:vAlign w:val="center"/>
            <w:hideMark/>
          </w:tcPr>
          <w:p w14:paraId="509E1356"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38BA0F57" w14:textId="77777777" w:rsidTr="00F2033C">
        <w:trPr>
          <w:trHeight w:val="290"/>
          <w:jc w:val="center"/>
        </w:trPr>
        <w:tc>
          <w:tcPr>
            <w:tcW w:w="960" w:type="dxa"/>
            <w:shd w:val="clear" w:color="auto" w:fill="auto"/>
            <w:noWrap/>
            <w:vAlign w:val="center"/>
            <w:hideMark/>
          </w:tcPr>
          <w:p w14:paraId="7176587D"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2022</w:t>
            </w:r>
          </w:p>
        </w:tc>
        <w:tc>
          <w:tcPr>
            <w:tcW w:w="1220" w:type="dxa"/>
            <w:shd w:val="clear" w:color="auto" w:fill="auto"/>
            <w:noWrap/>
            <w:vAlign w:val="center"/>
            <w:hideMark/>
          </w:tcPr>
          <w:p w14:paraId="642DB18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39%</w:t>
            </w:r>
          </w:p>
        </w:tc>
        <w:tc>
          <w:tcPr>
            <w:tcW w:w="1220" w:type="dxa"/>
            <w:shd w:val="clear" w:color="auto" w:fill="auto"/>
            <w:noWrap/>
            <w:vAlign w:val="center"/>
            <w:hideMark/>
          </w:tcPr>
          <w:p w14:paraId="47FFE36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34%</w:t>
            </w:r>
          </w:p>
        </w:tc>
        <w:tc>
          <w:tcPr>
            <w:tcW w:w="1220" w:type="dxa"/>
            <w:shd w:val="clear" w:color="auto" w:fill="auto"/>
            <w:noWrap/>
            <w:vAlign w:val="center"/>
            <w:hideMark/>
          </w:tcPr>
          <w:p w14:paraId="3EC3C71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18%</w:t>
            </w:r>
          </w:p>
        </w:tc>
        <w:tc>
          <w:tcPr>
            <w:tcW w:w="1220" w:type="dxa"/>
            <w:shd w:val="clear" w:color="auto" w:fill="auto"/>
            <w:noWrap/>
            <w:vAlign w:val="center"/>
            <w:hideMark/>
          </w:tcPr>
          <w:p w14:paraId="77B909E0"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8%</w:t>
            </w:r>
          </w:p>
        </w:tc>
        <w:tc>
          <w:tcPr>
            <w:tcW w:w="1220" w:type="dxa"/>
            <w:shd w:val="clear" w:color="auto" w:fill="auto"/>
            <w:noWrap/>
            <w:vAlign w:val="center"/>
            <w:hideMark/>
          </w:tcPr>
          <w:p w14:paraId="10BCDEBF"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9F0665" w:rsidRPr="009F0665" w14:paraId="2EDC6F78" w14:textId="77777777" w:rsidTr="00F2033C">
        <w:trPr>
          <w:trHeight w:val="290"/>
          <w:jc w:val="center"/>
        </w:trPr>
        <w:tc>
          <w:tcPr>
            <w:tcW w:w="960" w:type="dxa"/>
            <w:shd w:val="clear" w:color="auto" w:fill="auto"/>
            <w:noWrap/>
            <w:vAlign w:val="center"/>
            <w:hideMark/>
          </w:tcPr>
          <w:p w14:paraId="54EB6129"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2023</w:t>
            </w:r>
          </w:p>
        </w:tc>
        <w:tc>
          <w:tcPr>
            <w:tcW w:w="1220" w:type="dxa"/>
            <w:shd w:val="clear" w:color="auto" w:fill="auto"/>
            <w:noWrap/>
            <w:vAlign w:val="center"/>
            <w:hideMark/>
          </w:tcPr>
          <w:p w14:paraId="64FB3297"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40%</w:t>
            </w:r>
          </w:p>
        </w:tc>
        <w:tc>
          <w:tcPr>
            <w:tcW w:w="1220" w:type="dxa"/>
            <w:shd w:val="clear" w:color="auto" w:fill="auto"/>
            <w:noWrap/>
            <w:vAlign w:val="center"/>
            <w:hideMark/>
          </w:tcPr>
          <w:p w14:paraId="13D0BCC0"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33%</w:t>
            </w:r>
          </w:p>
        </w:tc>
        <w:tc>
          <w:tcPr>
            <w:tcW w:w="1220" w:type="dxa"/>
            <w:shd w:val="clear" w:color="auto" w:fill="auto"/>
            <w:noWrap/>
            <w:vAlign w:val="center"/>
            <w:hideMark/>
          </w:tcPr>
          <w:p w14:paraId="49E5C8D2"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19%</w:t>
            </w:r>
          </w:p>
        </w:tc>
        <w:tc>
          <w:tcPr>
            <w:tcW w:w="1220" w:type="dxa"/>
            <w:shd w:val="clear" w:color="auto" w:fill="auto"/>
            <w:noWrap/>
            <w:vAlign w:val="center"/>
            <w:hideMark/>
          </w:tcPr>
          <w:p w14:paraId="0F560D8A"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8%</w:t>
            </w:r>
          </w:p>
        </w:tc>
        <w:tc>
          <w:tcPr>
            <w:tcW w:w="1220" w:type="dxa"/>
            <w:shd w:val="clear" w:color="auto" w:fill="auto"/>
            <w:noWrap/>
            <w:vAlign w:val="center"/>
            <w:hideMark/>
          </w:tcPr>
          <w:p w14:paraId="73521429"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r w:rsidR="00103DBF" w:rsidRPr="009F0665" w14:paraId="3027EE12" w14:textId="77777777" w:rsidTr="00F2033C">
        <w:trPr>
          <w:trHeight w:val="290"/>
          <w:jc w:val="center"/>
        </w:trPr>
        <w:tc>
          <w:tcPr>
            <w:tcW w:w="960" w:type="dxa"/>
            <w:shd w:val="clear" w:color="auto" w:fill="FAE2D5" w:themeFill="accent2" w:themeFillTint="33"/>
            <w:noWrap/>
            <w:vAlign w:val="center"/>
            <w:hideMark/>
          </w:tcPr>
          <w:p w14:paraId="59AD0AC3" w14:textId="77777777" w:rsidR="009F0665" w:rsidRPr="009F0665" w:rsidRDefault="009F0665" w:rsidP="009F0665">
            <w:pPr>
              <w:spacing w:after="0" w:line="240" w:lineRule="auto"/>
              <w:jc w:val="center"/>
              <w:rPr>
                <w:rFonts w:ascii="Aptos Narrow" w:eastAsia="Times New Roman" w:hAnsi="Aptos Narrow" w:cs="Times New Roman"/>
                <w:b/>
                <w:bCs/>
                <w:color w:val="000000"/>
                <w:lang w:eastAsia="tr-TR"/>
              </w:rPr>
            </w:pPr>
            <w:r w:rsidRPr="009F0665">
              <w:rPr>
                <w:rFonts w:ascii="Aptos Narrow" w:eastAsia="Times New Roman" w:hAnsi="Aptos Narrow" w:cs="Times New Roman"/>
                <w:b/>
                <w:bCs/>
                <w:color w:val="000000"/>
                <w:lang w:eastAsia="tr-TR"/>
              </w:rPr>
              <w:t>2024</w:t>
            </w:r>
          </w:p>
        </w:tc>
        <w:tc>
          <w:tcPr>
            <w:tcW w:w="1220" w:type="dxa"/>
            <w:shd w:val="clear" w:color="auto" w:fill="FAE2D5" w:themeFill="accent2" w:themeFillTint="33"/>
            <w:noWrap/>
            <w:vAlign w:val="center"/>
            <w:hideMark/>
          </w:tcPr>
          <w:p w14:paraId="5E82AF35"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40%</w:t>
            </w:r>
          </w:p>
        </w:tc>
        <w:tc>
          <w:tcPr>
            <w:tcW w:w="1220" w:type="dxa"/>
            <w:shd w:val="clear" w:color="auto" w:fill="FAE2D5" w:themeFill="accent2" w:themeFillTint="33"/>
            <w:noWrap/>
            <w:vAlign w:val="center"/>
            <w:hideMark/>
          </w:tcPr>
          <w:p w14:paraId="56887253"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31%</w:t>
            </w:r>
          </w:p>
        </w:tc>
        <w:tc>
          <w:tcPr>
            <w:tcW w:w="1220" w:type="dxa"/>
            <w:shd w:val="clear" w:color="auto" w:fill="FAE2D5" w:themeFill="accent2" w:themeFillTint="33"/>
            <w:noWrap/>
            <w:vAlign w:val="center"/>
            <w:hideMark/>
          </w:tcPr>
          <w:p w14:paraId="4B96AD79"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20%</w:t>
            </w:r>
          </w:p>
        </w:tc>
        <w:tc>
          <w:tcPr>
            <w:tcW w:w="1220" w:type="dxa"/>
            <w:shd w:val="clear" w:color="auto" w:fill="FAE2D5" w:themeFill="accent2" w:themeFillTint="33"/>
            <w:noWrap/>
            <w:vAlign w:val="center"/>
            <w:hideMark/>
          </w:tcPr>
          <w:p w14:paraId="6E89D432"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8%</w:t>
            </w:r>
          </w:p>
        </w:tc>
        <w:tc>
          <w:tcPr>
            <w:tcW w:w="1220" w:type="dxa"/>
            <w:shd w:val="clear" w:color="auto" w:fill="FAE2D5" w:themeFill="accent2" w:themeFillTint="33"/>
            <w:noWrap/>
            <w:vAlign w:val="center"/>
            <w:hideMark/>
          </w:tcPr>
          <w:p w14:paraId="389E68D1" w14:textId="77777777" w:rsidR="009F0665" w:rsidRPr="009F0665" w:rsidRDefault="009F0665" w:rsidP="009F0665">
            <w:pPr>
              <w:spacing w:after="0" w:line="240" w:lineRule="auto"/>
              <w:jc w:val="center"/>
              <w:rPr>
                <w:rFonts w:ascii="Times New Roman" w:eastAsia="Times New Roman" w:hAnsi="Times New Roman" w:cs="Times New Roman"/>
                <w:color w:val="000000"/>
                <w:lang w:eastAsia="tr-TR"/>
              </w:rPr>
            </w:pPr>
            <w:r w:rsidRPr="009F0665">
              <w:rPr>
                <w:rFonts w:ascii="Times New Roman" w:eastAsia="Times New Roman" w:hAnsi="Times New Roman" w:cs="Times New Roman"/>
                <w:color w:val="000000"/>
                <w:lang w:eastAsia="tr-TR"/>
              </w:rPr>
              <w:t>100%</w:t>
            </w:r>
          </w:p>
        </w:tc>
      </w:tr>
    </w:tbl>
    <w:p w14:paraId="293276BA" w14:textId="77777777" w:rsidR="00E57C79" w:rsidRDefault="00E57C79" w:rsidP="009F0665">
      <w:pPr>
        <w:rPr>
          <w:rFonts w:cstheme="minorHAnsi"/>
        </w:rPr>
      </w:pPr>
    </w:p>
    <w:p w14:paraId="43734844" w14:textId="0EC360DD" w:rsidR="00927026" w:rsidRPr="006506E1" w:rsidRDefault="00056DC4" w:rsidP="006506E1">
      <w:pPr>
        <w:jc w:val="both"/>
        <w:rPr>
          <w:rFonts w:cstheme="minorHAnsi"/>
          <w:sz w:val="24"/>
          <w:szCs w:val="24"/>
        </w:rPr>
      </w:pPr>
      <w:r w:rsidRPr="00213189">
        <w:rPr>
          <w:rFonts w:cstheme="minorHAnsi"/>
          <w:sz w:val="24"/>
          <w:szCs w:val="24"/>
        </w:rPr>
        <w:t xml:space="preserve">Akdeniz </w:t>
      </w:r>
      <w:r w:rsidR="00213189">
        <w:rPr>
          <w:rFonts w:cstheme="minorHAnsi"/>
          <w:sz w:val="24"/>
          <w:szCs w:val="24"/>
        </w:rPr>
        <w:t>b</w:t>
      </w:r>
      <w:r w:rsidRPr="00213189">
        <w:rPr>
          <w:rFonts w:cstheme="minorHAnsi"/>
          <w:sz w:val="24"/>
          <w:szCs w:val="24"/>
        </w:rPr>
        <w:t xml:space="preserve">ölgesinin </w:t>
      </w:r>
      <w:r w:rsidR="00776B68" w:rsidRPr="00213189">
        <w:rPr>
          <w:rFonts w:cstheme="minorHAnsi"/>
          <w:sz w:val="24"/>
          <w:szCs w:val="24"/>
        </w:rPr>
        <w:t xml:space="preserve">payının </w:t>
      </w:r>
      <w:r w:rsidRPr="00213189">
        <w:rPr>
          <w:rFonts w:cstheme="minorHAnsi"/>
          <w:sz w:val="24"/>
          <w:szCs w:val="24"/>
        </w:rPr>
        <w:t xml:space="preserve">düşüşünde Ceyhan’daki transit ham petrol terminallerinin ve özelikle de Kerkük-Yumurtalık hampetrol boru hattı terminalinin büyük bir rolü vardır. Bu boru hattından </w:t>
      </w:r>
      <w:r w:rsidR="00213189">
        <w:rPr>
          <w:rFonts w:cstheme="minorHAnsi"/>
          <w:sz w:val="24"/>
          <w:szCs w:val="24"/>
        </w:rPr>
        <w:t xml:space="preserve">ekte yer alan </w:t>
      </w:r>
      <w:r w:rsidRPr="00213189">
        <w:rPr>
          <w:rFonts w:cstheme="minorHAnsi"/>
          <w:sz w:val="24"/>
          <w:szCs w:val="24"/>
        </w:rPr>
        <w:t>raporumuz</w:t>
      </w:r>
      <w:r w:rsidR="00213189">
        <w:rPr>
          <w:rFonts w:cstheme="minorHAnsi"/>
          <w:sz w:val="24"/>
          <w:szCs w:val="24"/>
        </w:rPr>
        <w:t xml:space="preserve">dan da görüleceği üzere </w:t>
      </w:r>
      <w:r w:rsidR="00776B68" w:rsidRPr="00213189">
        <w:rPr>
          <w:rFonts w:cstheme="minorHAnsi"/>
          <w:sz w:val="24"/>
          <w:szCs w:val="24"/>
        </w:rPr>
        <w:t>2015-2020 yılları arasında 10 milyon tona yakın hampetrol yüklemesi yapılırken</w:t>
      </w:r>
      <w:r w:rsidR="00213189">
        <w:rPr>
          <w:rFonts w:cstheme="minorHAnsi"/>
          <w:sz w:val="24"/>
          <w:szCs w:val="24"/>
        </w:rPr>
        <w:t>,</w:t>
      </w:r>
      <w:r w:rsidR="00776B68" w:rsidRPr="00213189">
        <w:rPr>
          <w:rFonts w:cstheme="minorHAnsi"/>
          <w:sz w:val="24"/>
          <w:szCs w:val="24"/>
        </w:rPr>
        <w:t xml:space="preserve"> bu miktar 2023 yılında 2 milyona kadar düşmüş, 2024 yılkında ise herhangi bir elleçleme olmamıştır.</w:t>
      </w:r>
    </w:p>
    <w:p w14:paraId="5302D904" w14:textId="571C0624" w:rsidR="00A24A48" w:rsidRPr="006506E1" w:rsidRDefault="00A24A48" w:rsidP="00A24A48">
      <w:pPr>
        <w:jc w:val="center"/>
        <w:rPr>
          <w:rFonts w:cstheme="minorHAnsi"/>
          <w:b/>
          <w:bCs/>
          <w:sz w:val="22"/>
          <w:szCs w:val="22"/>
        </w:rPr>
      </w:pPr>
      <w:r w:rsidRPr="006506E1">
        <w:rPr>
          <w:rFonts w:cstheme="minorHAnsi"/>
          <w:b/>
          <w:bCs/>
          <w:sz w:val="22"/>
          <w:szCs w:val="22"/>
          <w:u w:val="single"/>
        </w:rPr>
        <w:t>Grafik-</w:t>
      </w:r>
      <w:r w:rsidR="00F2033C" w:rsidRPr="006506E1">
        <w:rPr>
          <w:rFonts w:cstheme="minorHAnsi"/>
          <w:b/>
          <w:bCs/>
          <w:sz w:val="22"/>
          <w:szCs w:val="22"/>
          <w:u w:val="single"/>
        </w:rPr>
        <w:t>6</w:t>
      </w:r>
      <w:r w:rsidRPr="006506E1">
        <w:rPr>
          <w:rFonts w:cstheme="minorHAnsi"/>
          <w:b/>
          <w:bCs/>
          <w:sz w:val="22"/>
          <w:szCs w:val="22"/>
          <w:u w:val="single"/>
        </w:rPr>
        <w:t>:</w:t>
      </w:r>
      <w:r w:rsidRPr="006506E1">
        <w:rPr>
          <w:rFonts w:cstheme="minorHAnsi"/>
          <w:sz w:val="22"/>
          <w:szCs w:val="22"/>
        </w:rPr>
        <w:t xml:space="preserve"> </w:t>
      </w:r>
      <w:r w:rsidRPr="006506E1">
        <w:rPr>
          <w:rFonts w:cstheme="minorHAnsi"/>
          <w:b/>
          <w:bCs/>
          <w:sz w:val="22"/>
          <w:szCs w:val="22"/>
        </w:rPr>
        <w:t>Türkiye’de Toplam Yükte Bölgelerin Payları (2010-2024)</w:t>
      </w:r>
    </w:p>
    <w:p w14:paraId="2354EBD1" w14:textId="5F81D059" w:rsidR="00232DFE" w:rsidRDefault="00A24A48" w:rsidP="00FB6830">
      <w:pPr>
        <w:jc w:val="center"/>
        <w:rPr>
          <w:rFonts w:cstheme="minorHAnsi"/>
        </w:rPr>
      </w:pPr>
      <w:r>
        <w:rPr>
          <w:noProof/>
        </w:rPr>
        <w:drawing>
          <wp:inline distT="0" distB="0" distL="0" distR="0" wp14:anchorId="211723D3" wp14:editId="30A47170">
            <wp:extent cx="5343727" cy="2321668"/>
            <wp:effectExtent l="0" t="0" r="9525" b="2540"/>
            <wp:docPr id="52790630" name="Grafik 1">
              <a:extLst xmlns:a="http://schemas.openxmlformats.org/drawingml/2006/main">
                <a:ext uri="{FF2B5EF4-FFF2-40B4-BE49-F238E27FC236}">
                  <a16:creationId xmlns:a16="http://schemas.microsoft.com/office/drawing/2014/main" id="{8897E43C-573C-8D0F-F86A-A24169DECB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ED1876" w14:textId="2AAE67A1" w:rsidR="00FB6830" w:rsidRDefault="00927026" w:rsidP="00927026">
      <w:pPr>
        <w:jc w:val="both"/>
        <w:rPr>
          <w:rFonts w:cstheme="minorHAnsi"/>
          <w:sz w:val="24"/>
          <w:szCs w:val="24"/>
        </w:rPr>
      </w:pPr>
      <w:r w:rsidRPr="00213189">
        <w:rPr>
          <w:rFonts w:cstheme="minorHAnsi"/>
          <w:sz w:val="24"/>
          <w:szCs w:val="24"/>
        </w:rPr>
        <w:t xml:space="preserve">Bu boru hattının yeniden faaliyete geçmesiyle birlikte Akdeniz </w:t>
      </w:r>
      <w:r>
        <w:rPr>
          <w:rFonts w:cstheme="minorHAnsi"/>
          <w:sz w:val="24"/>
          <w:szCs w:val="24"/>
        </w:rPr>
        <w:t>b</w:t>
      </w:r>
      <w:r w:rsidRPr="00213189">
        <w:rPr>
          <w:rFonts w:cstheme="minorHAnsi"/>
          <w:sz w:val="24"/>
          <w:szCs w:val="24"/>
        </w:rPr>
        <w:t>ölgesi</w:t>
      </w:r>
      <w:r>
        <w:rPr>
          <w:rFonts w:cstheme="minorHAnsi"/>
          <w:sz w:val="24"/>
          <w:szCs w:val="24"/>
        </w:rPr>
        <w:t>n</w:t>
      </w:r>
      <w:r w:rsidRPr="00213189">
        <w:rPr>
          <w:rFonts w:cstheme="minorHAnsi"/>
          <w:sz w:val="24"/>
          <w:szCs w:val="24"/>
        </w:rPr>
        <w:t xml:space="preserve">de elleçlenen yük miktarı çok büyük ölçekte artacak, bu durum bölgenin toplam yükteki payını çok önemli oranda etkileyebilecektir. Bu açıdan Türkiye’de liman istatistiklerinin değerlendirilmesinde transit </w:t>
      </w:r>
      <w:r w:rsidRPr="00213189">
        <w:rPr>
          <w:rFonts w:cstheme="minorHAnsi"/>
          <w:sz w:val="24"/>
          <w:szCs w:val="24"/>
        </w:rPr>
        <w:lastRenderedPageBreak/>
        <w:t xml:space="preserve">hampetrol terminalleri olan Kerkük-Yumurtalık (BOTAŞ Ceyhan) ve Bakü-Tiflis-Ceyhan (BTC) terminallerinin çok büyük bir etkisi vardır. Bu terminallerin çalışıp çalışmaması, performansı, boru hatlarının kapasite kullanımları vs. gibi birçok etkene bağlı olarak Türkiye’deki toplam yük miktarı değişebilmekte, -10 veya +10 milyon ton mertebelerinde miktar değişimleri de yaşanmaktadır. </w:t>
      </w:r>
    </w:p>
    <w:p w14:paraId="6A3F7784" w14:textId="77777777" w:rsidR="00EE754E" w:rsidRPr="00927026" w:rsidRDefault="00EE754E" w:rsidP="00927026">
      <w:pPr>
        <w:jc w:val="both"/>
        <w:rPr>
          <w:rFonts w:cstheme="minorHAnsi"/>
          <w:sz w:val="24"/>
          <w:szCs w:val="24"/>
        </w:rPr>
      </w:pPr>
    </w:p>
    <w:p w14:paraId="37A82546" w14:textId="07639C1C" w:rsidR="009B46BA" w:rsidRPr="00927026" w:rsidRDefault="009B46BA" w:rsidP="009B46BA">
      <w:pPr>
        <w:pStyle w:val="ListeParagraf"/>
        <w:numPr>
          <w:ilvl w:val="0"/>
          <w:numId w:val="1"/>
        </w:numPr>
        <w:tabs>
          <w:tab w:val="left" w:pos="284"/>
        </w:tabs>
        <w:ind w:left="0" w:firstLine="0"/>
        <w:jc w:val="both"/>
        <w:rPr>
          <w:rFonts w:cstheme="minorHAnsi"/>
          <w:b/>
          <w:bCs/>
          <w:sz w:val="40"/>
          <w:szCs w:val="40"/>
        </w:rPr>
      </w:pPr>
      <w:r w:rsidRPr="00FB6830">
        <w:rPr>
          <w:rFonts w:cstheme="minorHAnsi"/>
          <w:b/>
          <w:bCs/>
          <w:sz w:val="40"/>
          <w:szCs w:val="40"/>
        </w:rPr>
        <w:t>KONTEYNER DEĞERLENDİRMESİ</w:t>
      </w:r>
    </w:p>
    <w:p w14:paraId="134C2AA1" w14:textId="31FEA02D" w:rsidR="00F6480B" w:rsidRPr="00903A7F" w:rsidRDefault="00F6480B" w:rsidP="00F6480B">
      <w:pPr>
        <w:pStyle w:val="ListeParagraf"/>
        <w:numPr>
          <w:ilvl w:val="1"/>
          <w:numId w:val="1"/>
        </w:numPr>
        <w:tabs>
          <w:tab w:val="left" w:pos="567"/>
        </w:tabs>
        <w:ind w:left="0" w:firstLine="0"/>
        <w:jc w:val="both"/>
        <w:rPr>
          <w:rFonts w:cstheme="minorHAnsi"/>
          <w:b/>
          <w:bCs/>
          <w:sz w:val="24"/>
          <w:szCs w:val="24"/>
        </w:rPr>
      </w:pPr>
      <w:r w:rsidRPr="00903A7F">
        <w:rPr>
          <w:rFonts w:cstheme="minorHAnsi"/>
          <w:b/>
          <w:bCs/>
          <w:sz w:val="24"/>
          <w:szCs w:val="24"/>
        </w:rPr>
        <w:t xml:space="preserve">Gümrük Rejimlerine Göre Toplam </w:t>
      </w:r>
      <w:r w:rsidR="00931E3D">
        <w:rPr>
          <w:rFonts w:cstheme="minorHAnsi"/>
          <w:b/>
          <w:bCs/>
          <w:sz w:val="24"/>
          <w:szCs w:val="24"/>
        </w:rPr>
        <w:t>Konteynerde</w:t>
      </w:r>
      <w:r w:rsidRPr="00903A7F">
        <w:rPr>
          <w:rFonts w:cstheme="minorHAnsi"/>
          <w:b/>
          <w:bCs/>
          <w:sz w:val="24"/>
          <w:szCs w:val="24"/>
        </w:rPr>
        <w:t xml:space="preserve"> Tonaj Değişimi</w:t>
      </w:r>
    </w:p>
    <w:p w14:paraId="62575CAF" w14:textId="1ADF462A" w:rsidR="00325116" w:rsidRPr="006506E1" w:rsidRDefault="00325116" w:rsidP="00325116">
      <w:pPr>
        <w:jc w:val="both"/>
        <w:rPr>
          <w:rFonts w:cstheme="minorHAnsi"/>
          <w:sz w:val="24"/>
          <w:szCs w:val="24"/>
        </w:rPr>
      </w:pPr>
      <w:r w:rsidRPr="006506E1">
        <w:rPr>
          <w:rFonts w:cstheme="minorHAnsi"/>
          <w:sz w:val="24"/>
          <w:szCs w:val="24"/>
        </w:rPr>
        <w:t>Tablo-1</w:t>
      </w:r>
      <w:r w:rsidR="00DA1559">
        <w:rPr>
          <w:rFonts w:cstheme="minorHAnsi"/>
          <w:sz w:val="24"/>
          <w:szCs w:val="24"/>
        </w:rPr>
        <w:t>2</w:t>
      </w:r>
      <w:r w:rsidRPr="006506E1">
        <w:rPr>
          <w:rFonts w:cstheme="minorHAnsi"/>
          <w:sz w:val="24"/>
          <w:szCs w:val="24"/>
        </w:rPr>
        <w:t>’den de görüldüğü üzere limanlarımızda 2024 yılının (Ocak-Aralık) elleçlenen tonajlar 2023 yılının aynı dönemi ile karşılaştırıldığında; Konteynerde 97</w:t>
      </w:r>
      <w:r w:rsidR="00877D44" w:rsidRPr="006506E1">
        <w:rPr>
          <w:rFonts w:cstheme="minorHAnsi"/>
          <w:sz w:val="24"/>
          <w:szCs w:val="24"/>
        </w:rPr>
        <w:t xml:space="preserve">3.328 TEU </w:t>
      </w:r>
      <w:r w:rsidRPr="006506E1">
        <w:rPr>
          <w:rFonts w:cstheme="minorHAnsi"/>
          <w:sz w:val="24"/>
          <w:szCs w:val="24"/>
        </w:rPr>
        <w:t xml:space="preserve">fazlasıyla yaklaşık </w:t>
      </w:r>
      <w:r w:rsidR="00877D44" w:rsidRPr="006506E1">
        <w:rPr>
          <w:rFonts w:cstheme="minorHAnsi"/>
          <w:sz w:val="24"/>
          <w:szCs w:val="24"/>
        </w:rPr>
        <w:t>13,5</w:t>
      </w:r>
      <w:r w:rsidRPr="006506E1">
        <w:rPr>
          <w:rFonts w:cstheme="minorHAnsi"/>
          <w:sz w:val="24"/>
          <w:szCs w:val="24"/>
        </w:rPr>
        <w:t xml:space="preserve"> milyon </w:t>
      </w:r>
      <w:r w:rsidR="00877D44" w:rsidRPr="006506E1">
        <w:rPr>
          <w:rFonts w:cstheme="minorHAnsi"/>
          <w:sz w:val="24"/>
          <w:szCs w:val="24"/>
        </w:rPr>
        <w:t xml:space="preserve">TEU </w:t>
      </w:r>
      <w:r w:rsidR="000A18DF">
        <w:rPr>
          <w:rFonts w:cstheme="minorHAnsi"/>
          <w:sz w:val="24"/>
          <w:szCs w:val="24"/>
        </w:rPr>
        <w:t xml:space="preserve">konteyner </w:t>
      </w:r>
      <w:r w:rsidRPr="006506E1">
        <w:rPr>
          <w:rFonts w:cstheme="minorHAnsi"/>
          <w:sz w:val="24"/>
          <w:szCs w:val="24"/>
        </w:rPr>
        <w:t>elleçlenmiş, böylelikle 2024 yılında bir önceki yıla göre %</w:t>
      </w:r>
      <w:r w:rsidR="0006257E" w:rsidRPr="006506E1">
        <w:rPr>
          <w:rFonts w:cstheme="minorHAnsi"/>
          <w:sz w:val="24"/>
          <w:szCs w:val="24"/>
        </w:rPr>
        <w:t>7,75</w:t>
      </w:r>
      <w:r w:rsidRPr="006506E1">
        <w:rPr>
          <w:rFonts w:cstheme="minorHAnsi"/>
          <w:sz w:val="24"/>
          <w:szCs w:val="24"/>
        </w:rPr>
        <w:t xml:space="preserve"> oranında bir büyüme yaşanmıştır. Gümrük rejimleri açısından </w:t>
      </w:r>
      <w:r w:rsidR="000A18DF">
        <w:rPr>
          <w:rFonts w:cstheme="minorHAnsi"/>
          <w:sz w:val="24"/>
          <w:szCs w:val="24"/>
        </w:rPr>
        <w:t>Konteynere</w:t>
      </w:r>
      <w:r w:rsidRPr="006506E1">
        <w:rPr>
          <w:rFonts w:cstheme="minorHAnsi"/>
          <w:sz w:val="24"/>
          <w:szCs w:val="24"/>
        </w:rPr>
        <w:t xml:space="preserve"> baktığımızda İhracat</w:t>
      </w:r>
      <w:r w:rsidR="00DF4EA4">
        <w:rPr>
          <w:rFonts w:cstheme="minorHAnsi"/>
          <w:sz w:val="24"/>
          <w:szCs w:val="24"/>
        </w:rPr>
        <w:t>a</w:t>
      </w:r>
      <w:r w:rsidRPr="006506E1">
        <w:rPr>
          <w:rFonts w:cstheme="minorHAnsi"/>
          <w:sz w:val="24"/>
          <w:szCs w:val="24"/>
        </w:rPr>
        <w:t xml:space="preserve"> konu </w:t>
      </w:r>
      <w:r w:rsidR="0006257E" w:rsidRPr="006506E1">
        <w:rPr>
          <w:rFonts w:cstheme="minorHAnsi"/>
          <w:sz w:val="24"/>
          <w:szCs w:val="24"/>
        </w:rPr>
        <w:t xml:space="preserve">konteyner miktarı </w:t>
      </w:r>
      <w:r w:rsidRPr="006506E1">
        <w:rPr>
          <w:rFonts w:cstheme="minorHAnsi"/>
          <w:sz w:val="24"/>
          <w:szCs w:val="24"/>
        </w:rPr>
        <w:t>%</w:t>
      </w:r>
      <w:r w:rsidR="0006257E" w:rsidRPr="006506E1">
        <w:rPr>
          <w:rFonts w:cstheme="minorHAnsi"/>
          <w:sz w:val="24"/>
          <w:szCs w:val="24"/>
        </w:rPr>
        <w:t>1,</w:t>
      </w:r>
      <w:r w:rsidRPr="006506E1">
        <w:rPr>
          <w:rFonts w:cstheme="minorHAnsi"/>
          <w:sz w:val="24"/>
          <w:szCs w:val="24"/>
        </w:rPr>
        <w:t>5</w:t>
      </w:r>
      <w:r w:rsidR="0006257E" w:rsidRPr="006506E1">
        <w:rPr>
          <w:rFonts w:cstheme="minorHAnsi"/>
          <w:sz w:val="24"/>
          <w:szCs w:val="24"/>
        </w:rPr>
        <w:t>8</w:t>
      </w:r>
      <w:r w:rsidRPr="006506E1">
        <w:rPr>
          <w:rFonts w:cstheme="minorHAnsi"/>
          <w:sz w:val="24"/>
          <w:szCs w:val="24"/>
        </w:rPr>
        <w:t xml:space="preserve"> oranında artarken, İthalata konu </w:t>
      </w:r>
      <w:r w:rsidR="0006257E" w:rsidRPr="006506E1">
        <w:rPr>
          <w:rFonts w:cstheme="minorHAnsi"/>
          <w:sz w:val="24"/>
          <w:szCs w:val="24"/>
        </w:rPr>
        <w:t xml:space="preserve">konteyner miktarı ise </w:t>
      </w:r>
      <w:r w:rsidRPr="006506E1">
        <w:rPr>
          <w:rFonts w:cstheme="minorHAnsi"/>
          <w:sz w:val="24"/>
          <w:szCs w:val="24"/>
        </w:rPr>
        <w:t>sadece %0,</w:t>
      </w:r>
      <w:r w:rsidR="0006257E" w:rsidRPr="006506E1">
        <w:rPr>
          <w:rFonts w:cstheme="minorHAnsi"/>
          <w:sz w:val="24"/>
          <w:szCs w:val="24"/>
        </w:rPr>
        <w:t>92</w:t>
      </w:r>
      <w:r w:rsidRPr="006506E1">
        <w:rPr>
          <w:rFonts w:cstheme="minorHAnsi"/>
          <w:sz w:val="24"/>
          <w:szCs w:val="24"/>
        </w:rPr>
        <w:t xml:space="preserve"> oranında artmıştır. Transite konu </w:t>
      </w:r>
      <w:r w:rsidR="00410771" w:rsidRPr="006506E1">
        <w:rPr>
          <w:rFonts w:cstheme="minorHAnsi"/>
          <w:sz w:val="24"/>
          <w:szCs w:val="24"/>
        </w:rPr>
        <w:t xml:space="preserve">konteyner miktarı </w:t>
      </w:r>
      <w:r w:rsidR="00DF4EA4">
        <w:rPr>
          <w:rFonts w:cstheme="minorHAnsi"/>
          <w:sz w:val="24"/>
          <w:szCs w:val="24"/>
        </w:rPr>
        <w:t xml:space="preserve">olağanüstü seviyede </w:t>
      </w:r>
      <w:r w:rsidRPr="006506E1">
        <w:rPr>
          <w:rFonts w:cstheme="minorHAnsi"/>
          <w:sz w:val="24"/>
          <w:szCs w:val="24"/>
        </w:rPr>
        <w:t>%3</w:t>
      </w:r>
      <w:r w:rsidR="00410771" w:rsidRPr="006506E1">
        <w:rPr>
          <w:rFonts w:cstheme="minorHAnsi"/>
          <w:sz w:val="24"/>
          <w:szCs w:val="24"/>
        </w:rPr>
        <w:t>4</w:t>
      </w:r>
      <w:r w:rsidRPr="006506E1">
        <w:rPr>
          <w:rFonts w:cstheme="minorHAnsi"/>
          <w:sz w:val="24"/>
          <w:szCs w:val="24"/>
        </w:rPr>
        <w:t>,4</w:t>
      </w:r>
      <w:r w:rsidR="00410771" w:rsidRPr="006506E1">
        <w:rPr>
          <w:rFonts w:cstheme="minorHAnsi"/>
          <w:sz w:val="24"/>
          <w:szCs w:val="24"/>
        </w:rPr>
        <w:t>4</w:t>
      </w:r>
      <w:r w:rsidRPr="006506E1">
        <w:rPr>
          <w:rFonts w:cstheme="minorHAnsi"/>
          <w:sz w:val="24"/>
          <w:szCs w:val="24"/>
        </w:rPr>
        <w:t xml:space="preserve"> </w:t>
      </w:r>
      <w:r w:rsidR="00410771" w:rsidRPr="006506E1">
        <w:rPr>
          <w:rFonts w:cstheme="minorHAnsi"/>
          <w:sz w:val="24"/>
          <w:szCs w:val="24"/>
        </w:rPr>
        <w:t xml:space="preserve">oranında artarken, </w:t>
      </w:r>
      <w:r w:rsidRPr="006506E1">
        <w:rPr>
          <w:rFonts w:cstheme="minorHAnsi"/>
          <w:sz w:val="24"/>
          <w:szCs w:val="24"/>
        </w:rPr>
        <w:t>Kabota</w:t>
      </w:r>
      <w:r w:rsidR="00B55006" w:rsidRPr="006506E1">
        <w:rPr>
          <w:rFonts w:cstheme="minorHAnsi"/>
          <w:sz w:val="24"/>
          <w:szCs w:val="24"/>
        </w:rPr>
        <w:t xml:space="preserve">ja konu konteyner miktarı ise </w:t>
      </w:r>
      <w:r w:rsidR="00DF4EA4">
        <w:rPr>
          <w:rFonts w:cstheme="minorHAnsi"/>
          <w:sz w:val="24"/>
          <w:szCs w:val="24"/>
        </w:rPr>
        <w:t xml:space="preserve">yine beklentilerin de üstünde </w:t>
      </w:r>
      <w:r w:rsidRPr="006506E1">
        <w:rPr>
          <w:rFonts w:cstheme="minorHAnsi"/>
          <w:sz w:val="24"/>
          <w:szCs w:val="24"/>
        </w:rPr>
        <w:t>%1</w:t>
      </w:r>
      <w:r w:rsidR="00B55006" w:rsidRPr="006506E1">
        <w:rPr>
          <w:rFonts w:cstheme="minorHAnsi"/>
          <w:sz w:val="24"/>
          <w:szCs w:val="24"/>
        </w:rPr>
        <w:t xml:space="preserve">8,9 oranında artmıştır. </w:t>
      </w:r>
      <w:r w:rsidRPr="006506E1">
        <w:rPr>
          <w:rFonts w:cstheme="minorHAnsi"/>
          <w:sz w:val="24"/>
          <w:szCs w:val="24"/>
        </w:rPr>
        <w:t xml:space="preserve">  </w:t>
      </w:r>
    </w:p>
    <w:p w14:paraId="123827AE" w14:textId="6E2D8408" w:rsidR="00232DFE" w:rsidRPr="00DA1559" w:rsidRDefault="00325116" w:rsidP="00325116">
      <w:pPr>
        <w:jc w:val="center"/>
        <w:rPr>
          <w:rFonts w:cstheme="minorHAnsi"/>
          <w:b/>
          <w:bCs/>
          <w:sz w:val="22"/>
          <w:szCs w:val="22"/>
        </w:rPr>
      </w:pPr>
      <w:r w:rsidRPr="00DA1559">
        <w:rPr>
          <w:rFonts w:cstheme="minorHAnsi"/>
          <w:b/>
          <w:bCs/>
          <w:sz w:val="22"/>
          <w:szCs w:val="22"/>
          <w:u w:val="single"/>
        </w:rPr>
        <w:t>Tablo-1</w:t>
      </w:r>
      <w:r w:rsidR="00DA1559" w:rsidRPr="00DA1559">
        <w:rPr>
          <w:rFonts w:cstheme="minorHAnsi"/>
          <w:b/>
          <w:bCs/>
          <w:sz w:val="22"/>
          <w:szCs w:val="22"/>
          <w:u w:val="single"/>
        </w:rPr>
        <w:t>2</w:t>
      </w:r>
      <w:r w:rsidRPr="00DA1559">
        <w:rPr>
          <w:rFonts w:cstheme="minorHAnsi"/>
          <w:b/>
          <w:bCs/>
          <w:sz w:val="22"/>
          <w:szCs w:val="22"/>
          <w:u w:val="single"/>
        </w:rPr>
        <w:t>:</w:t>
      </w:r>
      <w:r w:rsidRPr="00DA1559">
        <w:rPr>
          <w:rFonts w:cstheme="minorHAnsi"/>
          <w:sz w:val="22"/>
          <w:szCs w:val="22"/>
        </w:rPr>
        <w:t xml:space="preserve"> </w:t>
      </w:r>
      <w:r w:rsidRPr="00DA1559">
        <w:rPr>
          <w:rFonts w:cstheme="minorHAnsi"/>
          <w:b/>
          <w:bCs/>
          <w:sz w:val="22"/>
          <w:szCs w:val="22"/>
        </w:rPr>
        <w:t>Gümrük Rejimlerine Göre Konteynerde Tonaj Değişimi (2023-2024)</w:t>
      </w:r>
    </w:p>
    <w:tbl>
      <w:tblPr>
        <w:tblW w:w="76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561"/>
        <w:gridCol w:w="1260"/>
        <w:gridCol w:w="1260"/>
        <w:gridCol w:w="1140"/>
        <w:gridCol w:w="1140"/>
        <w:gridCol w:w="1260"/>
      </w:tblGrid>
      <w:tr w:rsidR="00222A99" w:rsidRPr="00222A99" w14:paraId="35BB471A" w14:textId="77777777" w:rsidTr="006B3BD6">
        <w:trPr>
          <w:trHeight w:val="285"/>
          <w:jc w:val="center"/>
        </w:trPr>
        <w:tc>
          <w:tcPr>
            <w:tcW w:w="1561" w:type="dxa"/>
            <w:shd w:val="clear" w:color="000000" w:fill="F8CBAD"/>
            <w:noWrap/>
            <w:vAlign w:val="center"/>
            <w:hideMark/>
          </w:tcPr>
          <w:p w14:paraId="01912440"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Ocak-Aralık</w:t>
            </w:r>
          </w:p>
        </w:tc>
        <w:tc>
          <w:tcPr>
            <w:tcW w:w="1260" w:type="dxa"/>
            <w:shd w:val="clear" w:color="000000" w:fill="FFFF00"/>
            <w:noWrap/>
            <w:vAlign w:val="bottom"/>
            <w:hideMark/>
          </w:tcPr>
          <w:p w14:paraId="38284E9E"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İhracat</w:t>
            </w:r>
          </w:p>
        </w:tc>
        <w:tc>
          <w:tcPr>
            <w:tcW w:w="1260" w:type="dxa"/>
            <w:shd w:val="clear" w:color="000000" w:fill="FFFF00"/>
            <w:noWrap/>
            <w:vAlign w:val="bottom"/>
            <w:hideMark/>
          </w:tcPr>
          <w:p w14:paraId="7D5CD30C"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İthalat</w:t>
            </w:r>
          </w:p>
        </w:tc>
        <w:tc>
          <w:tcPr>
            <w:tcW w:w="1140" w:type="dxa"/>
            <w:shd w:val="clear" w:color="000000" w:fill="FFFF00"/>
            <w:noWrap/>
            <w:vAlign w:val="bottom"/>
            <w:hideMark/>
          </w:tcPr>
          <w:p w14:paraId="6D195BE2"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Kabotaj</w:t>
            </w:r>
          </w:p>
        </w:tc>
        <w:tc>
          <w:tcPr>
            <w:tcW w:w="1140" w:type="dxa"/>
            <w:shd w:val="clear" w:color="000000" w:fill="FFFF00"/>
            <w:noWrap/>
            <w:vAlign w:val="bottom"/>
            <w:hideMark/>
          </w:tcPr>
          <w:p w14:paraId="00E6D5EE"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Transit</w:t>
            </w:r>
          </w:p>
        </w:tc>
        <w:tc>
          <w:tcPr>
            <w:tcW w:w="1260" w:type="dxa"/>
            <w:shd w:val="clear" w:color="000000" w:fill="FFFF00"/>
            <w:noWrap/>
            <w:vAlign w:val="bottom"/>
            <w:hideMark/>
          </w:tcPr>
          <w:p w14:paraId="32A9C36F"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Toplam</w:t>
            </w:r>
          </w:p>
        </w:tc>
      </w:tr>
      <w:tr w:rsidR="00222A99" w:rsidRPr="00222A99" w14:paraId="1C408E65" w14:textId="77777777" w:rsidTr="006B3BD6">
        <w:trPr>
          <w:trHeight w:val="285"/>
          <w:jc w:val="center"/>
        </w:trPr>
        <w:tc>
          <w:tcPr>
            <w:tcW w:w="1561" w:type="dxa"/>
            <w:shd w:val="clear" w:color="auto" w:fill="auto"/>
            <w:noWrap/>
            <w:vAlign w:val="center"/>
            <w:hideMark/>
          </w:tcPr>
          <w:p w14:paraId="6CA38440"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2023</w:t>
            </w:r>
          </w:p>
        </w:tc>
        <w:tc>
          <w:tcPr>
            <w:tcW w:w="1260" w:type="dxa"/>
            <w:shd w:val="clear" w:color="auto" w:fill="auto"/>
            <w:noWrap/>
            <w:vAlign w:val="bottom"/>
            <w:hideMark/>
          </w:tcPr>
          <w:p w14:paraId="58157EA3"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4.910.525</w:t>
            </w:r>
          </w:p>
        </w:tc>
        <w:tc>
          <w:tcPr>
            <w:tcW w:w="1260" w:type="dxa"/>
            <w:shd w:val="clear" w:color="auto" w:fill="auto"/>
            <w:noWrap/>
            <w:vAlign w:val="bottom"/>
            <w:hideMark/>
          </w:tcPr>
          <w:p w14:paraId="4BA828ED"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4.830.826</w:t>
            </w:r>
          </w:p>
        </w:tc>
        <w:tc>
          <w:tcPr>
            <w:tcW w:w="1140" w:type="dxa"/>
            <w:shd w:val="clear" w:color="auto" w:fill="auto"/>
            <w:noWrap/>
            <w:vAlign w:val="bottom"/>
            <w:hideMark/>
          </w:tcPr>
          <w:p w14:paraId="0D36F3A7"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759.611</w:t>
            </w:r>
          </w:p>
        </w:tc>
        <w:tc>
          <w:tcPr>
            <w:tcW w:w="1140" w:type="dxa"/>
            <w:shd w:val="clear" w:color="auto" w:fill="auto"/>
            <w:noWrap/>
            <w:vAlign w:val="bottom"/>
            <w:hideMark/>
          </w:tcPr>
          <w:p w14:paraId="102E0232"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2.055.439</w:t>
            </w:r>
          </w:p>
        </w:tc>
        <w:tc>
          <w:tcPr>
            <w:tcW w:w="1260" w:type="dxa"/>
            <w:shd w:val="clear" w:color="auto" w:fill="auto"/>
            <w:noWrap/>
            <w:vAlign w:val="bottom"/>
            <w:hideMark/>
          </w:tcPr>
          <w:p w14:paraId="5016F84D"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12.556.401</w:t>
            </w:r>
          </w:p>
        </w:tc>
      </w:tr>
      <w:tr w:rsidR="00222A99" w:rsidRPr="00222A99" w14:paraId="0742C1A4" w14:textId="77777777" w:rsidTr="006B3BD6">
        <w:trPr>
          <w:trHeight w:val="285"/>
          <w:jc w:val="center"/>
        </w:trPr>
        <w:tc>
          <w:tcPr>
            <w:tcW w:w="1561" w:type="dxa"/>
            <w:shd w:val="clear" w:color="auto" w:fill="auto"/>
            <w:noWrap/>
            <w:vAlign w:val="center"/>
            <w:hideMark/>
          </w:tcPr>
          <w:p w14:paraId="73A38C29"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2024</w:t>
            </w:r>
          </w:p>
        </w:tc>
        <w:tc>
          <w:tcPr>
            <w:tcW w:w="1260" w:type="dxa"/>
            <w:shd w:val="clear" w:color="auto" w:fill="auto"/>
            <w:noWrap/>
            <w:vAlign w:val="bottom"/>
            <w:hideMark/>
          </w:tcPr>
          <w:p w14:paraId="6444E812"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4.987.903</w:t>
            </w:r>
          </w:p>
        </w:tc>
        <w:tc>
          <w:tcPr>
            <w:tcW w:w="1260" w:type="dxa"/>
            <w:shd w:val="clear" w:color="auto" w:fill="auto"/>
            <w:noWrap/>
            <w:vAlign w:val="bottom"/>
            <w:hideMark/>
          </w:tcPr>
          <w:p w14:paraId="4287D906"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4.875.265</w:t>
            </w:r>
          </w:p>
        </w:tc>
        <w:tc>
          <w:tcPr>
            <w:tcW w:w="1140" w:type="dxa"/>
            <w:shd w:val="clear" w:color="auto" w:fill="auto"/>
            <w:noWrap/>
            <w:vAlign w:val="bottom"/>
            <w:hideMark/>
          </w:tcPr>
          <w:p w14:paraId="709D96E4"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903.194</w:t>
            </w:r>
          </w:p>
        </w:tc>
        <w:tc>
          <w:tcPr>
            <w:tcW w:w="1140" w:type="dxa"/>
            <w:shd w:val="clear" w:color="auto" w:fill="auto"/>
            <w:noWrap/>
            <w:vAlign w:val="bottom"/>
            <w:hideMark/>
          </w:tcPr>
          <w:p w14:paraId="68B28F41"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2.763.368</w:t>
            </w:r>
          </w:p>
        </w:tc>
        <w:tc>
          <w:tcPr>
            <w:tcW w:w="1260" w:type="dxa"/>
            <w:shd w:val="clear" w:color="auto" w:fill="auto"/>
            <w:noWrap/>
            <w:vAlign w:val="bottom"/>
            <w:hideMark/>
          </w:tcPr>
          <w:p w14:paraId="252E9625"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13.529.729</w:t>
            </w:r>
          </w:p>
        </w:tc>
      </w:tr>
      <w:tr w:rsidR="00222A99" w:rsidRPr="00222A99" w14:paraId="1F5E101E" w14:textId="77777777" w:rsidTr="006B3BD6">
        <w:trPr>
          <w:trHeight w:val="285"/>
          <w:jc w:val="center"/>
        </w:trPr>
        <w:tc>
          <w:tcPr>
            <w:tcW w:w="1561" w:type="dxa"/>
            <w:shd w:val="clear" w:color="auto" w:fill="auto"/>
            <w:noWrap/>
            <w:vAlign w:val="center"/>
            <w:hideMark/>
          </w:tcPr>
          <w:p w14:paraId="270B6CE6"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Farklar</w:t>
            </w:r>
          </w:p>
        </w:tc>
        <w:tc>
          <w:tcPr>
            <w:tcW w:w="1260" w:type="dxa"/>
            <w:shd w:val="clear" w:color="auto" w:fill="auto"/>
            <w:noWrap/>
            <w:vAlign w:val="bottom"/>
            <w:hideMark/>
          </w:tcPr>
          <w:p w14:paraId="7C5D6F7E"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77.378</w:t>
            </w:r>
          </w:p>
        </w:tc>
        <w:tc>
          <w:tcPr>
            <w:tcW w:w="1260" w:type="dxa"/>
            <w:shd w:val="clear" w:color="auto" w:fill="auto"/>
            <w:noWrap/>
            <w:vAlign w:val="bottom"/>
            <w:hideMark/>
          </w:tcPr>
          <w:p w14:paraId="278B40F7"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44.438</w:t>
            </w:r>
          </w:p>
        </w:tc>
        <w:tc>
          <w:tcPr>
            <w:tcW w:w="1140" w:type="dxa"/>
            <w:shd w:val="clear" w:color="auto" w:fill="auto"/>
            <w:noWrap/>
            <w:vAlign w:val="bottom"/>
            <w:hideMark/>
          </w:tcPr>
          <w:p w14:paraId="244817E1"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143.583</w:t>
            </w:r>
          </w:p>
        </w:tc>
        <w:tc>
          <w:tcPr>
            <w:tcW w:w="1140" w:type="dxa"/>
            <w:shd w:val="clear" w:color="auto" w:fill="auto"/>
            <w:noWrap/>
            <w:vAlign w:val="bottom"/>
            <w:hideMark/>
          </w:tcPr>
          <w:p w14:paraId="7CC8C589"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707.929</w:t>
            </w:r>
          </w:p>
        </w:tc>
        <w:tc>
          <w:tcPr>
            <w:tcW w:w="1260" w:type="dxa"/>
            <w:shd w:val="clear" w:color="auto" w:fill="auto"/>
            <w:noWrap/>
            <w:vAlign w:val="bottom"/>
            <w:hideMark/>
          </w:tcPr>
          <w:p w14:paraId="3D4F1ED1"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973.328</w:t>
            </w:r>
          </w:p>
        </w:tc>
      </w:tr>
      <w:tr w:rsidR="00222A99" w:rsidRPr="00222A99" w14:paraId="29FACD33" w14:textId="77777777" w:rsidTr="000A18DF">
        <w:trPr>
          <w:trHeight w:val="285"/>
          <w:jc w:val="center"/>
        </w:trPr>
        <w:tc>
          <w:tcPr>
            <w:tcW w:w="1561" w:type="dxa"/>
            <w:shd w:val="clear" w:color="auto" w:fill="FAE2D5" w:themeFill="accent2" w:themeFillTint="33"/>
            <w:noWrap/>
            <w:vAlign w:val="center"/>
            <w:hideMark/>
          </w:tcPr>
          <w:p w14:paraId="769D20B8" w14:textId="77777777" w:rsidR="00222A99" w:rsidRPr="00222A99" w:rsidRDefault="00222A99" w:rsidP="00222A99">
            <w:pPr>
              <w:spacing w:after="0" w:line="240" w:lineRule="auto"/>
              <w:jc w:val="center"/>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Büyüme Oranı</w:t>
            </w:r>
          </w:p>
        </w:tc>
        <w:tc>
          <w:tcPr>
            <w:tcW w:w="1260" w:type="dxa"/>
            <w:shd w:val="clear" w:color="auto" w:fill="FAE2D5" w:themeFill="accent2" w:themeFillTint="33"/>
            <w:noWrap/>
            <w:vAlign w:val="bottom"/>
            <w:hideMark/>
          </w:tcPr>
          <w:p w14:paraId="04FD1A2C"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1,58%</w:t>
            </w:r>
          </w:p>
        </w:tc>
        <w:tc>
          <w:tcPr>
            <w:tcW w:w="1260" w:type="dxa"/>
            <w:shd w:val="clear" w:color="auto" w:fill="FAE2D5" w:themeFill="accent2" w:themeFillTint="33"/>
            <w:noWrap/>
            <w:vAlign w:val="bottom"/>
            <w:hideMark/>
          </w:tcPr>
          <w:p w14:paraId="7CE1D00A"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0,92%</w:t>
            </w:r>
          </w:p>
        </w:tc>
        <w:tc>
          <w:tcPr>
            <w:tcW w:w="1140" w:type="dxa"/>
            <w:shd w:val="clear" w:color="auto" w:fill="FAE2D5" w:themeFill="accent2" w:themeFillTint="33"/>
            <w:noWrap/>
            <w:vAlign w:val="bottom"/>
            <w:hideMark/>
          </w:tcPr>
          <w:p w14:paraId="7DF70976"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18,90%</w:t>
            </w:r>
          </w:p>
        </w:tc>
        <w:tc>
          <w:tcPr>
            <w:tcW w:w="1140" w:type="dxa"/>
            <w:shd w:val="clear" w:color="auto" w:fill="FAE2D5" w:themeFill="accent2" w:themeFillTint="33"/>
            <w:noWrap/>
            <w:vAlign w:val="bottom"/>
            <w:hideMark/>
          </w:tcPr>
          <w:p w14:paraId="0933018F"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34,44%</w:t>
            </w:r>
          </w:p>
        </w:tc>
        <w:tc>
          <w:tcPr>
            <w:tcW w:w="1260" w:type="dxa"/>
            <w:shd w:val="clear" w:color="auto" w:fill="FAE2D5" w:themeFill="accent2" w:themeFillTint="33"/>
            <w:noWrap/>
            <w:vAlign w:val="bottom"/>
            <w:hideMark/>
          </w:tcPr>
          <w:p w14:paraId="04CF9103" w14:textId="77777777" w:rsidR="00222A99" w:rsidRPr="00222A99" w:rsidRDefault="00222A99" w:rsidP="00222A99">
            <w:pPr>
              <w:spacing w:after="0" w:line="240" w:lineRule="auto"/>
              <w:jc w:val="right"/>
              <w:rPr>
                <w:rFonts w:ascii="Calibri" w:eastAsia="Times New Roman" w:hAnsi="Calibri" w:cs="Calibri"/>
                <w:b/>
                <w:bCs/>
                <w:color w:val="000000"/>
                <w:lang w:eastAsia="tr-TR"/>
              </w:rPr>
            </w:pPr>
            <w:r w:rsidRPr="00222A99">
              <w:rPr>
                <w:rFonts w:ascii="Calibri" w:eastAsia="Times New Roman" w:hAnsi="Calibri" w:cs="Calibri"/>
                <w:b/>
                <w:bCs/>
                <w:color w:val="000000"/>
                <w:lang w:eastAsia="tr-TR"/>
              </w:rPr>
              <w:t>7,75%</w:t>
            </w:r>
          </w:p>
        </w:tc>
      </w:tr>
    </w:tbl>
    <w:p w14:paraId="1052943E" w14:textId="77777777" w:rsidR="00C24F1B" w:rsidRDefault="00C24F1B" w:rsidP="00C24F1B">
      <w:pPr>
        <w:jc w:val="both"/>
        <w:rPr>
          <w:rFonts w:cstheme="minorHAnsi"/>
        </w:rPr>
      </w:pPr>
    </w:p>
    <w:p w14:paraId="64E4887B" w14:textId="77777777" w:rsidR="00040373" w:rsidRDefault="00C24F1B" w:rsidP="00C24F1B">
      <w:pPr>
        <w:jc w:val="both"/>
        <w:rPr>
          <w:rFonts w:cstheme="minorHAnsi"/>
          <w:sz w:val="24"/>
          <w:szCs w:val="24"/>
        </w:rPr>
      </w:pPr>
      <w:r w:rsidRPr="006506E1">
        <w:rPr>
          <w:rFonts w:cstheme="minorHAnsi"/>
          <w:sz w:val="24"/>
          <w:szCs w:val="24"/>
        </w:rPr>
        <w:t>Tablo-1</w:t>
      </w:r>
      <w:r w:rsidR="00DF4EA4">
        <w:rPr>
          <w:rFonts w:cstheme="minorHAnsi"/>
          <w:sz w:val="24"/>
          <w:szCs w:val="24"/>
        </w:rPr>
        <w:t>3</w:t>
      </w:r>
      <w:r w:rsidRPr="006506E1">
        <w:rPr>
          <w:rFonts w:cstheme="minorHAnsi"/>
          <w:sz w:val="24"/>
          <w:szCs w:val="24"/>
        </w:rPr>
        <w:t>’</w:t>
      </w:r>
      <w:r w:rsidR="00DF4EA4">
        <w:rPr>
          <w:rFonts w:cstheme="minorHAnsi"/>
          <w:sz w:val="24"/>
          <w:szCs w:val="24"/>
        </w:rPr>
        <w:t>t</w:t>
      </w:r>
      <w:r w:rsidRPr="006506E1">
        <w:rPr>
          <w:rFonts w:cstheme="minorHAnsi"/>
          <w:sz w:val="24"/>
          <w:szCs w:val="24"/>
        </w:rPr>
        <w:t xml:space="preserve">en de görüldüğü gibi 2023 yılında Konteynerde bir önceki yıla göre İhracat konteynerleri </w:t>
      </w:r>
      <w:r w:rsidR="008428C7" w:rsidRPr="006506E1">
        <w:rPr>
          <w:rFonts w:cstheme="minorHAnsi"/>
          <w:sz w:val="24"/>
          <w:szCs w:val="24"/>
        </w:rPr>
        <w:t xml:space="preserve">%4,59 </w:t>
      </w:r>
      <w:r w:rsidRPr="006506E1">
        <w:rPr>
          <w:rFonts w:cstheme="minorHAnsi"/>
          <w:sz w:val="24"/>
          <w:szCs w:val="24"/>
        </w:rPr>
        <w:t xml:space="preserve">oranda </w:t>
      </w:r>
      <w:r w:rsidR="008428C7" w:rsidRPr="006506E1">
        <w:rPr>
          <w:rFonts w:cstheme="minorHAnsi"/>
          <w:sz w:val="24"/>
          <w:szCs w:val="24"/>
        </w:rPr>
        <w:t>artarken</w:t>
      </w:r>
      <w:r w:rsidR="00DF4EA4">
        <w:rPr>
          <w:rFonts w:cstheme="minorHAnsi"/>
          <w:sz w:val="24"/>
          <w:szCs w:val="24"/>
        </w:rPr>
        <w:t>,</w:t>
      </w:r>
      <w:r w:rsidR="008428C7" w:rsidRPr="006506E1">
        <w:rPr>
          <w:rFonts w:cstheme="minorHAnsi"/>
          <w:sz w:val="24"/>
          <w:szCs w:val="24"/>
        </w:rPr>
        <w:t xml:space="preserve"> İthalata konu konteyner adedi ise sadece </w:t>
      </w:r>
      <w:r w:rsidR="00050406" w:rsidRPr="006506E1">
        <w:rPr>
          <w:rFonts w:cstheme="minorHAnsi"/>
          <w:sz w:val="24"/>
          <w:szCs w:val="24"/>
        </w:rPr>
        <w:t xml:space="preserve">%0,34 oranında artmıştır. </w:t>
      </w:r>
      <w:r w:rsidRPr="006506E1">
        <w:rPr>
          <w:rFonts w:cstheme="minorHAnsi"/>
          <w:sz w:val="24"/>
          <w:szCs w:val="24"/>
        </w:rPr>
        <w:t>Yine Kabotaj</w:t>
      </w:r>
      <w:r w:rsidR="00050406" w:rsidRPr="006506E1">
        <w:rPr>
          <w:rFonts w:cstheme="minorHAnsi"/>
          <w:sz w:val="24"/>
          <w:szCs w:val="24"/>
        </w:rPr>
        <w:t>a konu konteyner</w:t>
      </w:r>
      <w:r w:rsidR="001A468A" w:rsidRPr="006506E1">
        <w:rPr>
          <w:rFonts w:cstheme="minorHAnsi"/>
          <w:sz w:val="24"/>
          <w:szCs w:val="24"/>
        </w:rPr>
        <w:t xml:space="preserve"> %7,47 oranında küçülürken</w:t>
      </w:r>
      <w:r w:rsidR="00DF4EA4">
        <w:rPr>
          <w:rFonts w:cstheme="minorHAnsi"/>
          <w:sz w:val="24"/>
          <w:szCs w:val="24"/>
        </w:rPr>
        <w:t>,</w:t>
      </w:r>
      <w:r w:rsidR="001A468A" w:rsidRPr="006506E1">
        <w:rPr>
          <w:rFonts w:cstheme="minorHAnsi"/>
          <w:sz w:val="24"/>
          <w:szCs w:val="24"/>
        </w:rPr>
        <w:t xml:space="preserve"> </w:t>
      </w:r>
      <w:r w:rsidRPr="006506E1">
        <w:rPr>
          <w:rFonts w:cstheme="minorHAnsi"/>
          <w:sz w:val="24"/>
          <w:szCs w:val="24"/>
        </w:rPr>
        <w:t xml:space="preserve">Transit </w:t>
      </w:r>
      <w:r w:rsidR="001A468A" w:rsidRPr="006506E1">
        <w:rPr>
          <w:rFonts w:cstheme="minorHAnsi"/>
          <w:sz w:val="24"/>
          <w:szCs w:val="24"/>
        </w:rPr>
        <w:t xml:space="preserve">konteyner adedi ise sadece </w:t>
      </w:r>
      <w:r w:rsidRPr="006506E1">
        <w:rPr>
          <w:rFonts w:cstheme="minorHAnsi"/>
          <w:sz w:val="24"/>
          <w:szCs w:val="24"/>
        </w:rPr>
        <w:t>%</w:t>
      </w:r>
      <w:r w:rsidR="001A468A" w:rsidRPr="006506E1">
        <w:rPr>
          <w:rFonts w:cstheme="minorHAnsi"/>
          <w:sz w:val="24"/>
          <w:szCs w:val="24"/>
        </w:rPr>
        <w:t>0,97 oranında artabilmiştir. 2023 yılına baktığımızda</w:t>
      </w:r>
      <w:r w:rsidR="004A03EB" w:rsidRPr="006506E1">
        <w:rPr>
          <w:rFonts w:cstheme="minorHAnsi"/>
          <w:sz w:val="24"/>
          <w:szCs w:val="24"/>
        </w:rPr>
        <w:t xml:space="preserve"> esas olarak İhracata konu konteyner artış</w:t>
      </w:r>
      <w:r w:rsidR="00C824F1">
        <w:rPr>
          <w:rFonts w:cstheme="minorHAnsi"/>
          <w:sz w:val="24"/>
          <w:szCs w:val="24"/>
        </w:rPr>
        <w:t>ı</w:t>
      </w:r>
      <w:r w:rsidR="004A03EB" w:rsidRPr="006506E1">
        <w:rPr>
          <w:rFonts w:cstheme="minorHAnsi"/>
          <w:sz w:val="24"/>
          <w:szCs w:val="24"/>
        </w:rPr>
        <w:t xml:space="preserve"> </w:t>
      </w:r>
      <w:r w:rsidR="00F04324">
        <w:rPr>
          <w:rFonts w:cstheme="minorHAnsi"/>
          <w:sz w:val="24"/>
          <w:szCs w:val="24"/>
        </w:rPr>
        <w:t>2023 yılı sonunda</w:t>
      </w:r>
      <w:r w:rsidR="00BB3A97">
        <w:rPr>
          <w:rFonts w:cstheme="minorHAnsi"/>
          <w:sz w:val="24"/>
          <w:szCs w:val="24"/>
        </w:rPr>
        <w:t xml:space="preserve">ki toplam yük artışının kaynağı olmuştur. </w:t>
      </w:r>
      <w:r w:rsidR="004A03EB" w:rsidRPr="006506E1">
        <w:rPr>
          <w:rFonts w:cstheme="minorHAnsi"/>
          <w:sz w:val="24"/>
          <w:szCs w:val="24"/>
        </w:rPr>
        <w:t xml:space="preserve"> </w:t>
      </w:r>
      <w:r w:rsidR="00040373">
        <w:rPr>
          <w:rFonts w:cstheme="minorHAnsi"/>
          <w:sz w:val="24"/>
          <w:szCs w:val="24"/>
        </w:rPr>
        <w:t>İhracat konteynerleri artmamış olsaydı 2023 yılı konteynerde de olumsuz kapanmış olabilecekti.</w:t>
      </w:r>
    </w:p>
    <w:p w14:paraId="04F3149A" w14:textId="77777777" w:rsidR="00040373" w:rsidRDefault="00040373" w:rsidP="00C24F1B">
      <w:pPr>
        <w:jc w:val="both"/>
        <w:rPr>
          <w:rFonts w:cstheme="minorHAnsi"/>
          <w:sz w:val="24"/>
          <w:szCs w:val="24"/>
        </w:rPr>
      </w:pPr>
    </w:p>
    <w:p w14:paraId="0AFD2325" w14:textId="77777777" w:rsidR="00040373" w:rsidRDefault="00040373" w:rsidP="00C24F1B">
      <w:pPr>
        <w:jc w:val="both"/>
        <w:rPr>
          <w:rFonts w:cstheme="minorHAnsi"/>
          <w:sz w:val="24"/>
          <w:szCs w:val="24"/>
        </w:rPr>
      </w:pPr>
    </w:p>
    <w:p w14:paraId="74E0E44C" w14:textId="7C6A098B" w:rsidR="00C24F1B" w:rsidRPr="006506E1" w:rsidRDefault="00C24F1B" w:rsidP="00C24F1B">
      <w:pPr>
        <w:jc w:val="both"/>
        <w:rPr>
          <w:rFonts w:cstheme="minorHAnsi"/>
          <w:sz w:val="24"/>
          <w:szCs w:val="24"/>
        </w:rPr>
      </w:pPr>
      <w:r w:rsidRPr="006506E1">
        <w:rPr>
          <w:rFonts w:cstheme="minorHAnsi"/>
          <w:sz w:val="24"/>
          <w:szCs w:val="24"/>
        </w:rPr>
        <w:t xml:space="preserve">  </w:t>
      </w:r>
    </w:p>
    <w:p w14:paraId="17CECAC3" w14:textId="7D1B5FCC" w:rsidR="00325116" w:rsidRPr="00DF4EA4" w:rsidRDefault="00325116" w:rsidP="00325116">
      <w:pPr>
        <w:jc w:val="center"/>
        <w:rPr>
          <w:rFonts w:cstheme="minorHAnsi"/>
          <w:b/>
          <w:bCs/>
          <w:sz w:val="22"/>
          <w:szCs w:val="22"/>
        </w:rPr>
      </w:pPr>
      <w:r w:rsidRPr="00DF4EA4">
        <w:rPr>
          <w:rFonts w:cstheme="minorHAnsi"/>
          <w:b/>
          <w:bCs/>
          <w:sz w:val="22"/>
          <w:szCs w:val="22"/>
          <w:u w:val="single"/>
        </w:rPr>
        <w:lastRenderedPageBreak/>
        <w:t>Tablo-1</w:t>
      </w:r>
      <w:r w:rsidR="00DF4EA4" w:rsidRPr="00DF4EA4">
        <w:rPr>
          <w:rFonts w:cstheme="minorHAnsi"/>
          <w:b/>
          <w:bCs/>
          <w:sz w:val="22"/>
          <w:szCs w:val="22"/>
          <w:u w:val="single"/>
        </w:rPr>
        <w:t>3</w:t>
      </w:r>
      <w:r w:rsidRPr="00DF4EA4">
        <w:rPr>
          <w:rFonts w:cstheme="minorHAnsi"/>
          <w:b/>
          <w:bCs/>
          <w:sz w:val="22"/>
          <w:szCs w:val="22"/>
          <w:u w:val="single"/>
        </w:rPr>
        <w:t>:</w:t>
      </w:r>
      <w:r w:rsidRPr="00DF4EA4">
        <w:rPr>
          <w:rFonts w:cstheme="minorHAnsi"/>
          <w:sz w:val="22"/>
          <w:szCs w:val="22"/>
        </w:rPr>
        <w:t xml:space="preserve"> </w:t>
      </w:r>
      <w:r w:rsidRPr="00DF4EA4">
        <w:rPr>
          <w:rFonts w:cstheme="minorHAnsi"/>
          <w:b/>
          <w:bCs/>
          <w:sz w:val="22"/>
          <w:szCs w:val="22"/>
        </w:rPr>
        <w:t>Gümrük Rejimlerine Göre Konteynerde Tonaj Değişimi (2022-2023)</w:t>
      </w:r>
    </w:p>
    <w:tbl>
      <w:tblPr>
        <w:tblW w:w="82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693"/>
        <w:gridCol w:w="1416"/>
        <w:gridCol w:w="1276"/>
        <w:gridCol w:w="1134"/>
        <w:gridCol w:w="1275"/>
        <w:gridCol w:w="1418"/>
      </w:tblGrid>
      <w:tr w:rsidR="00D3589C" w:rsidRPr="00410154" w14:paraId="6CC84110" w14:textId="77777777" w:rsidTr="006B3BD6">
        <w:trPr>
          <w:trHeight w:val="285"/>
          <w:jc w:val="center"/>
        </w:trPr>
        <w:tc>
          <w:tcPr>
            <w:tcW w:w="1693" w:type="dxa"/>
            <w:shd w:val="clear" w:color="000000" w:fill="F8CBAD"/>
            <w:noWrap/>
            <w:vAlign w:val="center"/>
            <w:hideMark/>
          </w:tcPr>
          <w:p w14:paraId="32259631"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Ocak-Aralık</w:t>
            </w:r>
          </w:p>
        </w:tc>
        <w:tc>
          <w:tcPr>
            <w:tcW w:w="1416" w:type="dxa"/>
            <w:shd w:val="clear" w:color="000000" w:fill="FFFF00"/>
            <w:noWrap/>
            <w:vAlign w:val="bottom"/>
            <w:hideMark/>
          </w:tcPr>
          <w:p w14:paraId="66FFB1E3"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İhracat</w:t>
            </w:r>
          </w:p>
        </w:tc>
        <w:tc>
          <w:tcPr>
            <w:tcW w:w="1276" w:type="dxa"/>
            <w:shd w:val="clear" w:color="000000" w:fill="FFFF00"/>
            <w:noWrap/>
            <w:vAlign w:val="bottom"/>
            <w:hideMark/>
          </w:tcPr>
          <w:p w14:paraId="7A58345E"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İthalat</w:t>
            </w:r>
          </w:p>
        </w:tc>
        <w:tc>
          <w:tcPr>
            <w:tcW w:w="1134" w:type="dxa"/>
            <w:shd w:val="clear" w:color="000000" w:fill="FFFF00"/>
            <w:noWrap/>
            <w:vAlign w:val="bottom"/>
            <w:hideMark/>
          </w:tcPr>
          <w:p w14:paraId="24DDF15D"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Kabotaj</w:t>
            </w:r>
          </w:p>
        </w:tc>
        <w:tc>
          <w:tcPr>
            <w:tcW w:w="1275" w:type="dxa"/>
            <w:shd w:val="clear" w:color="000000" w:fill="FFFF00"/>
            <w:noWrap/>
            <w:vAlign w:val="bottom"/>
            <w:hideMark/>
          </w:tcPr>
          <w:p w14:paraId="71812FF5"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Transit</w:t>
            </w:r>
          </w:p>
        </w:tc>
        <w:tc>
          <w:tcPr>
            <w:tcW w:w="1418" w:type="dxa"/>
            <w:shd w:val="clear" w:color="000000" w:fill="FFFF00"/>
            <w:noWrap/>
            <w:vAlign w:val="bottom"/>
            <w:hideMark/>
          </w:tcPr>
          <w:p w14:paraId="0419CC88"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Toplam</w:t>
            </w:r>
          </w:p>
        </w:tc>
      </w:tr>
      <w:tr w:rsidR="00D3589C" w:rsidRPr="00410154" w14:paraId="1D10FB8E" w14:textId="77777777" w:rsidTr="006B3BD6">
        <w:trPr>
          <w:trHeight w:val="285"/>
          <w:jc w:val="center"/>
        </w:trPr>
        <w:tc>
          <w:tcPr>
            <w:tcW w:w="1693" w:type="dxa"/>
            <w:shd w:val="clear" w:color="auto" w:fill="auto"/>
            <w:noWrap/>
            <w:vAlign w:val="center"/>
            <w:hideMark/>
          </w:tcPr>
          <w:p w14:paraId="597503D6"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2022</w:t>
            </w:r>
          </w:p>
        </w:tc>
        <w:tc>
          <w:tcPr>
            <w:tcW w:w="1416" w:type="dxa"/>
            <w:shd w:val="clear" w:color="auto" w:fill="auto"/>
            <w:noWrap/>
            <w:vAlign w:val="bottom"/>
            <w:hideMark/>
          </w:tcPr>
          <w:p w14:paraId="792120D9"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4.694.911</w:t>
            </w:r>
          </w:p>
        </w:tc>
        <w:tc>
          <w:tcPr>
            <w:tcW w:w="1276" w:type="dxa"/>
            <w:shd w:val="clear" w:color="auto" w:fill="auto"/>
            <w:noWrap/>
            <w:vAlign w:val="bottom"/>
            <w:hideMark/>
          </w:tcPr>
          <w:p w14:paraId="06F62B8F"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4.814.567</w:t>
            </w:r>
          </w:p>
        </w:tc>
        <w:tc>
          <w:tcPr>
            <w:tcW w:w="1134" w:type="dxa"/>
            <w:shd w:val="clear" w:color="auto" w:fill="auto"/>
            <w:noWrap/>
            <w:vAlign w:val="bottom"/>
            <w:hideMark/>
          </w:tcPr>
          <w:p w14:paraId="2CF1B0D7"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820.949</w:t>
            </w:r>
          </w:p>
        </w:tc>
        <w:tc>
          <w:tcPr>
            <w:tcW w:w="1275" w:type="dxa"/>
            <w:shd w:val="clear" w:color="auto" w:fill="auto"/>
            <w:noWrap/>
            <w:vAlign w:val="bottom"/>
            <w:hideMark/>
          </w:tcPr>
          <w:p w14:paraId="4F1A022B"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2.035.758</w:t>
            </w:r>
          </w:p>
        </w:tc>
        <w:tc>
          <w:tcPr>
            <w:tcW w:w="1418" w:type="dxa"/>
            <w:shd w:val="clear" w:color="auto" w:fill="auto"/>
            <w:noWrap/>
            <w:vAlign w:val="bottom"/>
            <w:hideMark/>
          </w:tcPr>
          <w:p w14:paraId="33D21233"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12.365.954</w:t>
            </w:r>
          </w:p>
        </w:tc>
      </w:tr>
      <w:tr w:rsidR="00D3589C" w:rsidRPr="00410154" w14:paraId="17725D6B" w14:textId="77777777" w:rsidTr="006B3BD6">
        <w:trPr>
          <w:trHeight w:val="285"/>
          <w:jc w:val="center"/>
        </w:trPr>
        <w:tc>
          <w:tcPr>
            <w:tcW w:w="1693" w:type="dxa"/>
            <w:shd w:val="clear" w:color="auto" w:fill="auto"/>
            <w:noWrap/>
            <w:vAlign w:val="center"/>
            <w:hideMark/>
          </w:tcPr>
          <w:p w14:paraId="2F8F45F0"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2023</w:t>
            </w:r>
          </w:p>
        </w:tc>
        <w:tc>
          <w:tcPr>
            <w:tcW w:w="1416" w:type="dxa"/>
            <w:shd w:val="clear" w:color="auto" w:fill="auto"/>
            <w:noWrap/>
            <w:vAlign w:val="bottom"/>
            <w:hideMark/>
          </w:tcPr>
          <w:p w14:paraId="267AC961"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4.910.526</w:t>
            </w:r>
          </w:p>
        </w:tc>
        <w:tc>
          <w:tcPr>
            <w:tcW w:w="1276" w:type="dxa"/>
            <w:shd w:val="clear" w:color="auto" w:fill="auto"/>
            <w:noWrap/>
            <w:vAlign w:val="bottom"/>
            <w:hideMark/>
          </w:tcPr>
          <w:p w14:paraId="4F8C42C3"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4.830.827</w:t>
            </w:r>
          </w:p>
        </w:tc>
        <w:tc>
          <w:tcPr>
            <w:tcW w:w="1134" w:type="dxa"/>
            <w:shd w:val="clear" w:color="auto" w:fill="auto"/>
            <w:noWrap/>
            <w:vAlign w:val="bottom"/>
            <w:hideMark/>
          </w:tcPr>
          <w:p w14:paraId="52EA1957"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759.613</w:t>
            </w:r>
          </w:p>
        </w:tc>
        <w:tc>
          <w:tcPr>
            <w:tcW w:w="1275" w:type="dxa"/>
            <w:shd w:val="clear" w:color="auto" w:fill="auto"/>
            <w:noWrap/>
            <w:vAlign w:val="bottom"/>
            <w:hideMark/>
          </w:tcPr>
          <w:p w14:paraId="79DB0B06"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2.055.441</w:t>
            </w:r>
          </w:p>
        </w:tc>
        <w:tc>
          <w:tcPr>
            <w:tcW w:w="1418" w:type="dxa"/>
            <w:shd w:val="clear" w:color="auto" w:fill="auto"/>
            <w:noWrap/>
            <w:vAlign w:val="bottom"/>
            <w:hideMark/>
          </w:tcPr>
          <w:p w14:paraId="6342DF03"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12.556.407</w:t>
            </w:r>
          </w:p>
        </w:tc>
      </w:tr>
      <w:tr w:rsidR="00D3589C" w:rsidRPr="00410154" w14:paraId="57472DFA" w14:textId="77777777" w:rsidTr="006B3BD6">
        <w:trPr>
          <w:trHeight w:val="285"/>
          <w:jc w:val="center"/>
        </w:trPr>
        <w:tc>
          <w:tcPr>
            <w:tcW w:w="1693" w:type="dxa"/>
            <w:shd w:val="clear" w:color="auto" w:fill="auto"/>
            <w:noWrap/>
            <w:vAlign w:val="center"/>
            <w:hideMark/>
          </w:tcPr>
          <w:p w14:paraId="197697DB"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Farklar</w:t>
            </w:r>
          </w:p>
        </w:tc>
        <w:tc>
          <w:tcPr>
            <w:tcW w:w="1416" w:type="dxa"/>
            <w:shd w:val="clear" w:color="auto" w:fill="auto"/>
            <w:noWrap/>
            <w:vAlign w:val="bottom"/>
            <w:hideMark/>
          </w:tcPr>
          <w:p w14:paraId="75AC790F"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215.615</w:t>
            </w:r>
          </w:p>
        </w:tc>
        <w:tc>
          <w:tcPr>
            <w:tcW w:w="1276" w:type="dxa"/>
            <w:shd w:val="clear" w:color="auto" w:fill="auto"/>
            <w:noWrap/>
            <w:vAlign w:val="bottom"/>
            <w:hideMark/>
          </w:tcPr>
          <w:p w14:paraId="74AD1FBE"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16.260</w:t>
            </w:r>
          </w:p>
        </w:tc>
        <w:tc>
          <w:tcPr>
            <w:tcW w:w="1134" w:type="dxa"/>
            <w:shd w:val="clear" w:color="auto" w:fill="auto"/>
            <w:noWrap/>
            <w:vAlign w:val="bottom"/>
            <w:hideMark/>
          </w:tcPr>
          <w:p w14:paraId="30A7C06C"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-61.336</w:t>
            </w:r>
          </w:p>
        </w:tc>
        <w:tc>
          <w:tcPr>
            <w:tcW w:w="1275" w:type="dxa"/>
            <w:shd w:val="clear" w:color="auto" w:fill="auto"/>
            <w:noWrap/>
            <w:vAlign w:val="bottom"/>
            <w:hideMark/>
          </w:tcPr>
          <w:p w14:paraId="2E8DC794"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19.683</w:t>
            </w:r>
          </w:p>
        </w:tc>
        <w:tc>
          <w:tcPr>
            <w:tcW w:w="1418" w:type="dxa"/>
            <w:shd w:val="clear" w:color="auto" w:fill="auto"/>
            <w:noWrap/>
            <w:vAlign w:val="bottom"/>
            <w:hideMark/>
          </w:tcPr>
          <w:p w14:paraId="102E322A"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190.454</w:t>
            </w:r>
          </w:p>
        </w:tc>
      </w:tr>
      <w:tr w:rsidR="00D3589C" w:rsidRPr="00410154" w14:paraId="66E83B55" w14:textId="77777777" w:rsidTr="000A18DF">
        <w:trPr>
          <w:trHeight w:val="285"/>
          <w:jc w:val="center"/>
        </w:trPr>
        <w:tc>
          <w:tcPr>
            <w:tcW w:w="1693" w:type="dxa"/>
            <w:shd w:val="clear" w:color="auto" w:fill="FAE2D5" w:themeFill="accent2" w:themeFillTint="33"/>
            <w:noWrap/>
            <w:vAlign w:val="center"/>
            <w:hideMark/>
          </w:tcPr>
          <w:p w14:paraId="60BBBCEA" w14:textId="77777777" w:rsidR="00D3589C" w:rsidRPr="00410154" w:rsidRDefault="00D3589C">
            <w:pPr>
              <w:spacing w:after="0" w:line="240" w:lineRule="auto"/>
              <w:jc w:val="center"/>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Büyüme Oranı</w:t>
            </w:r>
          </w:p>
        </w:tc>
        <w:tc>
          <w:tcPr>
            <w:tcW w:w="1416" w:type="dxa"/>
            <w:shd w:val="clear" w:color="auto" w:fill="FAE2D5" w:themeFill="accent2" w:themeFillTint="33"/>
            <w:noWrap/>
            <w:vAlign w:val="bottom"/>
            <w:hideMark/>
          </w:tcPr>
          <w:p w14:paraId="1D4B48D5"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4,59%</w:t>
            </w:r>
          </w:p>
        </w:tc>
        <w:tc>
          <w:tcPr>
            <w:tcW w:w="1276" w:type="dxa"/>
            <w:shd w:val="clear" w:color="auto" w:fill="FAE2D5" w:themeFill="accent2" w:themeFillTint="33"/>
            <w:noWrap/>
            <w:vAlign w:val="bottom"/>
            <w:hideMark/>
          </w:tcPr>
          <w:p w14:paraId="6C35D577"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0,34%</w:t>
            </w:r>
          </w:p>
        </w:tc>
        <w:tc>
          <w:tcPr>
            <w:tcW w:w="1134" w:type="dxa"/>
            <w:shd w:val="clear" w:color="auto" w:fill="FAE2D5" w:themeFill="accent2" w:themeFillTint="33"/>
            <w:noWrap/>
            <w:vAlign w:val="bottom"/>
            <w:hideMark/>
          </w:tcPr>
          <w:p w14:paraId="684B1802" w14:textId="77777777" w:rsidR="00D3589C" w:rsidRPr="00410154" w:rsidRDefault="00D3589C">
            <w:pPr>
              <w:spacing w:after="0" w:line="240" w:lineRule="auto"/>
              <w:jc w:val="right"/>
              <w:rPr>
                <w:rFonts w:ascii="Calibri" w:eastAsia="Times New Roman" w:hAnsi="Calibri" w:cs="Calibri"/>
                <w:b/>
                <w:bCs/>
                <w:color w:val="FF0000"/>
                <w:lang w:eastAsia="tr-TR"/>
              </w:rPr>
            </w:pPr>
            <w:r w:rsidRPr="00410154">
              <w:rPr>
                <w:rFonts w:ascii="Calibri" w:eastAsia="Times New Roman" w:hAnsi="Calibri" w:cs="Calibri"/>
                <w:b/>
                <w:bCs/>
                <w:color w:val="FF0000"/>
                <w:lang w:eastAsia="tr-TR"/>
              </w:rPr>
              <w:t>-7,47%</w:t>
            </w:r>
          </w:p>
        </w:tc>
        <w:tc>
          <w:tcPr>
            <w:tcW w:w="1275" w:type="dxa"/>
            <w:shd w:val="clear" w:color="auto" w:fill="FAE2D5" w:themeFill="accent2" w:themeFillTint="33"/>
            <w:noWrap/>
            <w:vAlign w:val="bottom"/>
            <w:hideMark/>
          </w:tcPr>
          <w:p w14:paraId="23E50694"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0,97%</w:t>
            </w:r>
          </w:p>
        </w:tc>
        <w:tc>
          <w:tcPr>
            <w:tcW w:w="1418" w:type="dxa"/>
            <w:shd w:val="clear" w:color="auto" w:fill="FAE2D5" w:themeFill="accent2" w:themeFillTint="33"/>
            <w:noWrap/>
            <w:vAlign w:val="bottom"/>
            <w:hideMark/>
          </w:tcPr>
          <w:p w14:paraId="243A2D4A" w14:textId="77777777" w:rsidR="00D3589C" w:rsidRPr="00410154" w:rsidRDefault="00D3589C">
            <w:pPr>
              <w:spacing w:after="0" w:line="240" w:lineRule="auto"/>
              <w:jc w:val="right"/>
              <w:rPr>
                <w:rFonts w:ascii="Calibri" w:eastAsia="Times New Roman" w:hAnsi="Calibri" w:cs="Calibri"/>
                <w:b/>
                <w:bCs/>
                <w:color w:val="000000"/>
                <w:lang w:eastAsia="tr-TR"/>
              </w:rPr>
            </w:pPr>
            <w:r w:rsidRPr="00410154">
              <w:rPr>
                <w:rFonts w:ascii="Calibri" w:eastAsia="Times New Roman" w:hAnsi="Calibri" w:cs="Calibri"/>
                <w:b/>
                <w:bCs/>
                <w:color w:val="000000"/>
                <w:lang w:eastAsia="tr-TR"/>
              </w:rPr>
              <w:t>1,54%</w:t>
            </w:r>
          </w:p>
        </w:tc>
      </w:tr>
    </w:tbl>
    <w:p w14:paraId="600F4DBA" w14:textId="77777777" w:rsidR="00D3589C" w:rsidRDefault="00D3589C" w:rsidP="002B6338">
      <w:pPr>
        <w:jc w:val="both"/>
        <w:rPr>
          <w:rFonts w:cstheme="minorHAnsi"/>
        </w:rPr>
      </w:pPr>
    </w:p>
    <w:p w14:paraId="7D2DC141" w14:textId="5FC959A4" w:rsidR="00392E68" w:rsidRPr="006506E1" w:rsidRDefault="004A03EB" w:rsidP="004A03EB">
      <w:pPr>
        <w:jc w:val="both"/>
        <w:rPr>
          <w:rFonts w:cstheme="minorHAnsi"/>
          <w:sz w:val="24"/>
          <w:szCs w:val="24"/>
        </w:rPr>
      </w:pPr>
      <w:r w:rsidRPr="006506E1">
        <w:rPr>
          <w:rFonts w:cstheme="minorHAnsi"/>
          <w:sz w:val="24"/>
          <w:szCs w:val="24"/>
        </w:rPr>
        <w:t xml:space="preserve">Tablo-11 ve Tablo-12’yi karşılaştırdığımızda limanlarımızda 2023 yılına göre 2024 yılında ortaya çıkan önemli bir gelişme </w:t>
      </w:r>
      <w:r w:rsidR="003E27D5" w:rsidRPr="006506E1">
        <w:rPr>
          <w:rFonts w:cstheme="minorHAnsi"/>
          <w:sz w:val="24"/>
          <w:szCs w:val="24"/>
        </w:rPr>
        <w:t xml:space="preserve">özellikle Transit konteynerde yaşanan </w:t>
      </w:r>
      <w:r w:rsidR="009C54D3">
        <w:rPr>
          <w:rFonts w:cstheme="minorHAnsi"/>
          <w:sz w:val="24"/>
          <w:szCs w:val="24"/>
        </w:rPr>
        <w:t xml:space="preserve">olağanüstü </w:t>
      </w:r>
      <w:r w:rsidR="003E27D5" w:rsidRPr="006506E1">
        <w:rPr>
          <w:rFonts w:cstheme="minorHAnsi"/>
          <w:sz w:val="24"/>
          <w:szCs w:val="24"/>
        </w:rPr>
        <w:t>artış</w:t>
      </w:r>
      <w:r w:rsidR="00392E68" w:rsidRPr="006506E1">
        <w:rPr>
          <w:rFonts w:cstheme="minorHAnsi"/>
          <w:sz w:val="24"/>
          <w:szCs w:val="24"/>
        </w:rPr>
        <w:t xml:space="preserve">ın </w:t>
      </w:r>
      <w:r w:rsidR="009C54D3">
        <w:rPr>
          <w:rFonts w:cstheme="minorHAnsi"/>
          <w:sz w:val="24"/>
          <w:szCs w:val="24"/>
        </w:rPr>
        <w:t xml:space="preserve">limancılık sektörümüzün gelişmesi açısından </w:t>
      </w:r>
      <w:r w:rsidR="00392E68" w:rsidRPr="006506E1">
        <w:rPr>
          <w:rFonts w:cstheme="minorHAnsi"/>
          <w:sz w:val="24"/>
          <w:szCs w:val="24"/>
        </w:rPr>
        <w:t xml:space="preserve">önemidir. </w:t>
      </w:r>
      <w:r w:rsidR="009C54D3">
        <w:rPr>
          <w:rFonts w:cstheme="minorHAnsi"/>
          <w:sz w:val="24"/>
          <w:szCs w:val="24"/>
        </w:rPr>
        <w:t xml:space="preserve">2024 yılı boyunca devam eden </w:t>
      </w:r>
      <w:r w:rsidR="00392E68" w:rsidRPr="006506E1">
        <w:rPr>
          <w:rFonts w:cstheme="minorHAnsi"/>
          <w:sz w:val="24"/>
          <w:szCs w:val="24"/>
        </w:rPr>
        <w:t>Rusya-Ukrayna çatışması</w:t>
      </w:r>
      <w:r w:rsidR="009C54D3">
        <w:rPr>
          <w:rFonts w:cstheme="minorHAnsi"/>
          <w:sz w:val="24"/>
          <w:szCs w:val="24"/>
        </w:rPr>
        <w:t xml:space="preserve">na ilave olarak </w:t>
      </w:r>
      <w:r w:rsidR="00392E68" w:rsidRPr="006506E1">
        <w:rPr>
          <w:rFonts w:cstheme="minorHAnsi"/>
          <w:sz w:val="24"/>
          <w:szCs w:val="24"/>
        </w:rPr>
        <w:t>Rusya’ya dön</w:t>
      </w:r>
      <w:r w:rsidR="001477F8" w:rsidRPr="006506E1">
        <w:rPr>
          <w:rFonts w:cstheme="minorHAnsi"/>
          <w:sz w:val="24"/>
          <w:szCs w:val="24"/>
        </w:rPr>
        <w:t>ü</w:t>
      </w:r>
      <w:r w:rsidR="00392E68" w:rsidRPr="006506E1">
        <w:rPr>
          <w:rFonts w:cstheme="minorHAnsi"/>
          <w:sz w:val="24"/>
          <w:szCs w:val="24"/>
        </w:rPr>
        <w:t>k uygulanan ticari ambargolar</w:t>
      </w:r>
      <w:r w:rsidR="009C54D3">
        <w:rPr>
          <w:rFonts w:cstheme="minorHAnsi"/>
          <w:sz w:val="24"/>
          <w:szCs w:val="24"/>
        </w:rPr>
        <w:t xml:space="preserve"> </w:t>
      </w:r>
      <w:r w:rsidR="00562DF1">
        <w:rPr>
          <w:rFonts w:cstheme="minorHAnsi"/>
          <w:sz w:val="24"/>
          <w:szCs w:val="24"/>
        </w:rPr>
        <w:t>Türk limanlarını transitte cazip hale getirmiştir. Bu duruma ilave olarak İsrail</w:t>
      </w:r>
      <w:r w:rsidR="00F73F56">
        <w:rPr>
          <w:rFonts w:cstheme="minorHAnsi"/>
          <w:sz w:val="24"/>
          <w:szCs w:val="24"/>
        </w:rPr>
        <w:t xml:space="preserve">’in Gazze’ye müdahalesiyle tırmanan çatışmalar sonucunda </w:t>
      </w:r>
      <w:r w:rsidR="00392E68" w:rsidRPr="006506E1">
        <w:rPr>
          <w:rFonts w:cstheme="minorHAnsi"/>
          <w:sz w:val="24"/>
          <w:szCs w:val="24"/>
        </w:rPr>
        <w:t>Kızıldeniz ve Süveyş Kanalı’nın deniz trafiğine kapa</w:t>
      </w:r>
      <w:r w:rsidR="00F73F56">
        <w:rPr>
          <w:rFonts w:cstheme="minorHAnsi"/>
          <w:sz w:val="24"/>
          <w:szCs w:val="24"/>
        </w:rPr>
        <w:t xml:space="preserve">tılması da konteynerde limanlarımıza </w:t>
      </w:r>
      <w:r w:rsidR="00392E68" w:rsidRPr="006506E1">
        <w:rPr>
          <w:rFonts w:cstheme="minorHAnsi"/>
          <w:sz w:val="24"/>
          <w:szCs w:val="24"/>
        </w:rPr>
        <w:t>ol</w:t>
      </w:r>
      <w:r w:rsidR="00F73F56">
        <w:rPr>
          <w:rFonts w:cstheme="minorHAnsi"/>
          <w:sz w:val="24"/>
          <w:szCs w:val="24"/>
        </w:rPr>
        <w:t xml:space="preserve">umlu katkı sağlamıştır. </w:t>
      </w:r>
      <w:r w:rsidR="00FB366D">
        <w:rPr>
          <w:rFonts w:cstheme="minorHAnsi"/>
          <w:sz w:val="24"/>
          <w:szCs w:val="24"/>
        </w:rPr>
        <w:t xml:space="preserve">Ortaya çıkan bu durum nedeniyle </w:t>
      </w:r>
      <w:r w:rsidR="00F73F56">
        <w:rPr>
          <w:rFonts w:cstheme="minorHAnsi"/>
          <w:sz w:val="24"/>
          <w:szCs w:val="24"/>
        </w:rPr>
        <w:t xml:space="preserve">ağırlıkla Marmara ve Ege’deki </w:t>
      </w:r>
      <w:r w:rsidR="00392E68" w:rsidRPr="006506E1">
        <w:rPr>
          <w:rFonts w:cstheme="minorHAnsi"/>
          <w:sz w:val="24"/>
          <w:szCs w:val="24"/>
        </w:rPr>
        <w:t xml:space="preserve">konteyner </w:t>
      </w:r>
      <w:r w:rsidR="00557F73" w:rsidRPr="006506E1">
        <w:rPr>
          <w:rFonts w:cstheme="minorHAnsi"/>
          <w:sz w:val="24"/>
          <w:szCs w:val="24"/>
        </w:rPr>
        <w:t>terminallerine</w:t>
      </w:r>
      <w:r w:rsidR="00392E68" w:rsidRPr="006506E1">
        <w:rPr>
          <w:rFonts w:cstheme="minorHAnsi"/>
          <w:sz w:val="24"/>
          <w:szCs w:val="24"/>
        </w:rPr>
        <w:t xml:space="preserve"> </w:t>
      </w:r>
      <w:r w:rsidR="00F73F56">
        <w:rPr>
          <w:rFonts w:cstheme="minorHAnsi"/>
          <w:sz w:val="24"/>
          <w:szCs w:val="24"/>
        </w:rPr>
        <w:t xml:space="preserve">ilave </w:t>
      </w:r>
      <w:r w:rsidR="00392E68" w:rsidRPr="006506E1">
        <w:rPr>
          <w:rFonts w:cstheme="minorHAnsi"/>
          <w:sz w:val="24"/>
          <w:szCs w:val="24"/>
        </w:rPr>
        <w:t>transit konteyner</w:t>
      </w:r>
      <w:r w:rsidR="00810CCE" w:rsidRPr="006506E1">
        <w:rPr>
          <w:rFonts w:cstheme="minorHAnsi"/>
          <w:sz w:val="24"/>
          <w:szCs w:val="24"/>
        </w:rPr>
        <w:t xml:space="preserve"> yükleri</w:t>
      </w:r>
      <w:r w:rsidR="00FB366D">
        <w:rPr>
          <w:rFonts w:cstheme="minorHAnsi"/>
          <w:sz w:val="24"/>
          <w:szCs w:val="24"/>
        </w:rPr>
        <w:t xml:space="preserve"> gelmiştir. Ayrıca </w:t>
      </w:r>
      <w:r w:rsidR="00557F73" w:rsidRPr="006506E1">
        <w:rPr>
          <w:rFonts w:cstheme="minorHAnsi"/>
          <w:sz w:val="24"/>
          <w:szCs w:val="24"/>
        </w:rPr>
        <w:t xml:space="preserve">yerli konteyner armatörlerinin </w:t>
      </w:r>
      <w:r w:rsidR="00810CCE" w:rsidRPr="006506E1">
        <w:rPr>
          <w:rFonts w:cstheme="minorHAnsi"/>
          <w:sz w:val="24"/>
          <w:szCs w:val="24"/>
        </w:rPr>
        <w:t xml:space="preserve">Karadeniz </w:t>
      </w:r>
      <w:r w:rsidR="00557F73" w:rsidRPr="006506E1">
        <w:rPr>
          <w:rFonts w:cstheme="minorHAnsi"/>
          <w:sz w:val="24"/>
          <w:szCs w:val="24"/>
        </w:rPr>
        <w:t>v</w:t>
      </w:r>
      <w:r w:rsidR="00810CCE" w:rsidRPr="006506E1">
        <w:rPr>
          <w:rFonts w:cstheme="minorHAnsi"/>
          <w:sz w:val="24"/>
          <w:szCs w:val="24"/>
        </w:rPr>
        <w:t>e Akdeniz</w:t>
      </w:r>
      <w:r w:rsidR="00557F73" w:rsidRPr="006506E1">
        <w:rPr>
          <w:rFonts w:cstheme="minorHAnsi"/>
          <w:sz w:val="24"/>
          <w:szCs w:val="24"/>
        </w:rPr>
        <w:t xml:space="preserve"> içinde</w:t>
      </w:r>
      <w:r w:rsidR="00E44390">
        <w:rPr>
          <w:rFonts w:cstheme="minorHAnsi"/>
          <w:sz w:val="24"/>
          <w:szCs w:val="24"/>
        </w:rPr>
        <w:t>ki y</w:t>
      </w:r>
      <w:r w:rsidR="00810CCE" w:rsidRPr="006506E1">
        <w:rPr>
          <w:rFonts w:cstheme="minorHAnsi"/>
          <w:sz w:val="24"/>
          <w:szCs w:val="24"/>
        </w:rPr>
        <w:t>akın deniz taşımacılığında</w:t>
      </w:r>
      <w:r w:rsidR="00557F73" w:rsidRPr="006506E1">
        <w:rPr>
          <w:rFonts w:cstheme="minorHAnsi"/>
          <w:sz w:val="24"/>
          <w:szCs w:val="24"/>
        </w:rPr>
        <w:t xml:space="preserve">ki etkinliği </w:t>
      </w:r>
      <w:r w:rsidR="001477F8" w:rsidRPr="006506E1">
        <w:rPr>
          <w:rFonts w:cstheme="minorHAnsi"/>
          <w:sz w:val="24"/>
          <w:szCs w:val="24"/>
        </w:rPr>
        <w:t xml:space="preserve">de konteynerdeki artışa </w:t>
      </w:r>
      <w:r w:rsidR="00E44390">
        <w:rPr>
          <w:rFonts w:cstheme="minorHAnsi"/>
          <w:sz w:val="24"/>
          <w:szCs w:val="24"/>
        </w:rPr>
        <w:t xml:space="preserve">olumlu katkı sağlamıştır. </w:t>
      </w:r>
      <w:r w:rsidR="001477F8" w:rsidRPr="006506E1">
        <w:rPr>
          <w:rFonts w:cstheme="minorHAnsi"/>
          <w:sz w:val="24"/>
          <w:szCs w:val="24"/>
        </w:rPr>
        <w:t xml:space="preserve"> </w:t>
      </w:r>
    </w:p>
    <w:p w14:paraId="4CFC9452" w14:textId="49BAA884" w:rsidR="001477F8" w:rsidRPr="00E44390" w:rsidRDefault="006B3BD6" w:rsidP="006B3BD6">
      <w:pPr>
        <w:jc w:val="center"/>
        <w:rPr>
          <w:rFonts w:cstheme="minorHAnsi"/>
          <w:sz w:val="22"/>
          <w:szCs w:val="22"/>
        </w:rPr>
      </w:pPr>
      <w:r w:rsidRPr="00E44390">
        <w:rPr>
          <w:rFonts w:cstheme="minorHAnsi"/>
          <w:b/>
          <w:bCs/>
          <w:sz w:val="22"/>
          <w:szCs w:val="22"/>
          <w:u w:val="single"/>
        </w:rPr>
        <w:t>Tablo-1</w:t>
      </w:r>
      <w:r w:rsidR="00E44390" w:rsidRPr="00E44390">
        <w:rPr>
          <w:rFonts w:cstheme="minorHAnsi"/>
          <w:b/>
          <w:bCs/>
          <w:sz w:val="22"/>
          <w:szCs w:val="22"/>
          <w:u w:val="single"/>
        </w:rPr>
        <w:t>4</w:t>
      </w:r>
      <w:r w:rsidRPr="00E44390">
        <w:rPr>
          <w:rFonts w:cstheme="minorHAnsi"/>
          <w:b/>
          <w:bCs/>
          <w:sz w:val="22"/>
          <w:szCs w:val="22"/>
          <w:u w:val="single"/>
        </w:rPr>
        <w:t>:</w:t>
      </w:r>
      <w:r w:rsidRPr="00E44390">
        <w:rPr>
          <w:rFonts w:cstheme="minorHAnsi"/>
          <w:sz w:val="22"/>
          <w:szCs w:val="22"/>
        </w:rPr>
        <w:t xml:space="preserve"> </w:t>
      </w:r>
      <w:r w:rsidRPr="00E44390">
        <w:rPr>
          <w:rFonts w:cstheme="minorHAnsi"/>
          <w:b/>
          <w:bCs/>
          <w:sz w:val="22"/>
          <w:szCs w:val="22"/>
        </w:rPr>
        <w:t>Gümrük Rejimlerine Göre Konteynerde Aylık Büyüme Oranları (2023-2024)</w:t>
      </w:r>
    </w:p>
    <w:tbl>
      <w:tblPr>
        <w:tblW w:w="58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76"/>
        <w:gridCol w:w="887"/>
        <w:gridCol w:w="852"/>
        <w:gridCol w:w="980"/>
        <w:gridCol w:w="913"/>
        <w:gridCol w:w="952"/>
      </w:tblGrid>
      <w:tr w:rsidR="00231783" w:rsidRPr="00231783" w14:paraId="1E83D4A4" w14:textId="77777777" w:rsidTr="006B3BD6">
        <w:trPr>
          <w:trHeight w:val="600"/>
          <w:jc w:val="center"/>
        </w:trPr>
        <w:tc>
          <w:tcPr>
            <w:tcW w:w="5860" w:type="dxa"/>
            <w:gridSpan w:val="6"/>
            <w:shd w:val="clear" w:color="auto" w:fill="FFFF00"/>
            <w:noWrap/>
            <w:vAlign w:val="bottom"/>
            <w:hideMark/>
          </w:tcPr>
          <w:p w14:paraId="79B49032" w14:textId="075A02E6" w:rsidR="00231783" w:rsidRPr="00231783" w:rsidRDefault="00231783" w:rsidP="00231783">
            <w:pPr>
              <w:spacing w:after="0" w:line="240" w:lineRule="auto"/>
              <w:jc w:val="center"/>
              <w:rPr>
                <w:rFonts w:ascii="Calibri" w:eastAsia="Times New Roman" w:hAnsi="Calibri" w:cs="Calibri"/>
                <w:color w:val="000000"/>
                <w:lang w:eastAsia="tr-TR"/>
              </w:rPr>
            </w:pPr>
            <w:r>
              <w:rPr>
                <w:rFonts w:ascii="Calibri" w:eastAsia="Times New Roman" w:hAnsi="Calibri" w:cs="Calibri"/>
                <w:b/>
                <w:bCs/>
                <w:color w:val="000000"/>
                <w:lang w:eastAsia="tr-TR"/>
              </w:rPr>
              <w:t>Konteynerde</w:t>
            </w:r>
            <w:r w:rsidRPr="00523B3C">
              <w:rPr>
                <w:rFonts w:ascii="Calibri" w:eastAsia="Times New Roman" w:hAnsi="Calibri" w:cs="Calibri"/>
                <w:b/>
                <w:bCs/>
                <w:color w:val="000000"/>
                <w:lang w:eastAsia="tr-TR"/>
              </w:rPr>
              <w:t xml:space="preserve"> Gümrük</w:t>
            </w:r>
            <w:r w:rsidRPr="002B6338">
              <w:rPr>
                <w:rFonts w:ascii="Calibri" w:eastAsia="Times New Roman" w:hAnsi="Calibri" w:cs="Calibri"/>
                <w:b/>
                <w:bCs/>
                <w:color w:val="000000"/>
                <w:lang w:eastAsia="tr-TR"/>
              </w:rPr>
              <w:t xml:space="preserve"> Rejimlerine Göre Karşılaştırma</w:t>
            </w:r>
          </w:p>
          <w:p w14:paraId="4C48C394" w14:textId="1F0CBFC2" w:rsidR="00231783" w:rsidRPr="00231783" w:rsidRDefault="00231783" w:rsidP="00231783">
            <w:pPr>
              <w:spacing w:after="0" w:line="240" w:lineRule="auto"/>
              <w:jc w:val="center"/>
              <w:rPr>
                <w:rFonts w:ascii="Calibri" w:eastAsia="Times New Roman" w:hAnsi="Calibri" w:cs="Calibri"/>
                <w:color w:val="000000"/>
                <w:lang w:eastAsia="tr-TR"/>
              </w:rPr>
            </w:pPr>
            <w:r>
              <w:rPr>
                <w:rFonts w:ascii="Calibri" w:eastAsia="Times New Roman" w:hAnsi="Calibri" w:cs="Calibri"/>
                <w:b/>
                <w:bCs/>
                <w:color w:val="000000"/>
                <w:lang w:eastAsia="tr-TR"/>
              </w:rPr>
              <w:t>(</w:t>
            </w:r>
            <w:r w:rsidRPr="002B6338">
              <w:rPr>
                <w:rFonts w:ascii="Calibri" w:eastAsia="Times New Roman" w:hAnsi="Calibri" w:cs="Calibri"/>
                <w:b/>
                <w:bCs/>
                <w:color w:val="000000"/>
                <w:lang w:eastAsia="tr-TR"/>
              </w:rPr>
              <w:t>2023</w:t>
            </w:r>
            <w:r w:rsidRPr="00523B3C">
              <w:rPr>
                <w:rFonts w:ascii="Calibri" w:eastAsia="Times New Roman" w:hAnsi="Calibri" w:cs="Calibri"/>
                <w:b/>
                <w:bCs/>
                <w:color w:val="000000"/>
                <w:lang w:eastAsia="tr-TR"/>
              </w:rPr>
              <w:t>-</w:t>
            </w:r>
            <w:r w:rsidRPr="002B6338">
              <w:rPr>
                <w:rFonts w:ascii="Calibri" w:eastAsia="Times New Roman" w:hAnsi="Calibri" w:cs="Calibri"/>
                <w:b/>
                <w:bCs/>
                <w:color w:val="000000"/>
                <w:lang w:eastAsia="tr-TR"/>
              </w:rPr>
              <w:t>2024</w:t>
            </w:r>
            <w:r>
              <w:rPr>
                <w:rFonts w:ascii="Calibri" w:eastAsia="Times New Roman" w:hAnsi="Calibri" w:cs="Calibri"/>
                <w:b/>
                <w:bCs/>
                <w:color w:val="000000"/>
                <w:lang w:eastAsia="tr-TR"/>
              </w:rPr>
              <w:t>)</w:t>
            </w:r>
          </w:p>
        </w:tc>
      </w:tr>
      <w:tr w:rsidR="00231783" w:rsidRPr="00231783" w14:paraId="1F612872" w14:textId="77777777" w:rsidTr="006B3BD6">
        <w:trPr>
          <w:trHeight w:val="285"/>
          <w:jc w:val="center"/>
        </w:trPr>
        <w:tc>
          <w:tcPr>
            <w:tcW w:w="1276" w:type="dxa"/>
            <w:shd w:val="clear" w:color="auto" w:fill="FFC000"/>
            <w:noWrap/>
            <w:vAlign w:val="bottom"/>
            <w:hideMark/>
          </w:tcPr>
          <w:p w14:paraId="4281632E" w14:textId="747707FA" w:rsidR="00231783" w:rsidRPr="00231783" w:rsidRDefault="00231783" w:rsidP="00231783">
            <w:pPr>
              <w:spacing w:after="0" w:line="240" w:lineRule="auto"/>
              <w:jc w:val="center"/>
              <w:rPr>
                <w:rFonts w:ascii="Calibri" w:eastAsia="Times New Roman" w:hAnsi="Calibri" w:cs="Calibri"/>
                <w:b/>
                <w:bCs/>
                <w:color w:val="000000"/>
                <w:lang w:eastAsia="tr-TR"/>
              </w:rPr>
            </w:pPr>
            <w:r w:rsidRPr="00231783">
              <w:rPr>
                <w:rFonts w:ascii="Calibri" w:eastAsia="Times New Roman" w:hAnsi="Calibri" w:cs="Calibri"/>
                <w:b/>
                <w:bCs/>
                <w:color w:val="000000"/>
                <w:lang w:eastAsia="tr-TR"/>
              </w:rPr>
              <w:t>Aylar</w:t>
            </w:r>
          </w:p>
        </w:tc>
        <w:tc>
          <w:tcPr>
            <w:tcW w:w="887" w:type="dxa"/>
            <w:shd w:val="clear" w:color="auto" w:fill="FFC000"/>
            <w:noWrap/>
            <w:vAlign w:val="bottom"/>
            <w:hideMark/>
          </w:tcPr>
          <w:p w14:paraId="78C6C01D" w14:textId="77777777" w:rsidR="00231783" w:rsidRPr="00231783" w:rsidRDefault="00231783" w:rsidP="00231783">
            <w:pPr>
              <w:spacing w:after="0" w:line="240" w:lineRule="auto"/>
              <w:jc w:val="center"/>
              <w:rPr>
                <w:rFonts w:ascii="Calibri" w:eastAsia="Times New Roman" w:hAnsi="Calibri" w:cs="Calibri"/>
                <w:b/>
                <w:bCs/>
                <w:color w:val="000000"/>
                <w:lang w:eastAsia="tr-TR"/>
              </w:rPr>
            </w:pPr>
            <w:r w:rsidRPr="00231783">
              <w:rPr>
                <w:rFonts w:ascii="Calibri" w:eastAsia="Times New Roman" w:hAnsi="Calibri" w:cs="Calibri"/>
                <w:b/>
                <w:bCs/>
                <w:color w:val="000000"/>
                <w:lang w:eastAsia="tr-TR"/>
              </w:rPr>
              <w:t>İhracat</w:t>
            </w:r>
          </w:p>
        </w:tc>
        <w:tc>
          <w:tcPr>
            <w:tcW w:w="852" w:type="dxa"/>
            <w:shd w:val="clear" w:color="auto" w:fill="FFC000"/>
            <w:noWrap/>
            <w:vAlign w:val="bottom"/>
            <w:hideMark/>
          </w:tcPr>
          <w:p w14:paraId="7BC501A8" w14:textId="77777777" w:rsidR="00231783" w:rsidRPr="00231783" w:rsidRDefault="00231783" w:rsidP="00231783">
            <w:pPr>
              <w:spacing w:after="0" w:line="240" w:lineRule="auto"/>
              <w:jc w:val="center"/>
              <w:rPr>
                <w:rFonts w:ascii="Calibri" w:eastAsia="Times New Roman" w:hAnsi="Calibri" w:cs="Calibri"/>
                <w:b/>
                <w:bCs/>
                <w:color w:val="000000"/>
                <w:lang w:eastAsia="tr-TR"/>
              </w:rPr>
            </w:pPr>
            <w:r w:rsidRPr="00231783">
              <w:rPr>
                <w:rFonts w:ascii="Calibri" w:eastAsia="Times New Roman" w:hAnsi="Calibri" w:cs="Calibri"/>
                <w:b/>
                <w:bCs/>
                <w:color w:val="000000"/>
                <w:lang w:eastAsia="tr-TR"/>
              </w:rPr>
              <w:t>İthalat</w:t>
            </w:r>
          </w:p>
        </w:tc>
        <w:tc>
          <w:tcPr>
            <w:tcW w:w="980" w:type="dxa"/>
            <w:shd w:val="clear" w:color="auto" w:fill="FFC000"/>
            <w:noWrap/>
            <w:vAlign w:val="bottom"/>
            <w:hideMark/>
          </w:tcPr>
          <w:p w14:paraId="4FDD843D" w14:textId="77777777" w:rsidR="00231783" w:rsidRPr="00231783" w:rsidRDefault="00231783" w:rsidP="00231783">
            <w:pPr>
              <w:spacing w:after="0" w:line="240" w:lineRule="auto"/>
              <w:jc w:val="center"/>
              <w:rPr>
                <w:rFonts w:ascii="Calibri" w:eastAsia="Times New Roman" w:hAnsi="Calibri" w:cs="Calibri"/>
                <w:b/>
                <w:bCs/>
                <w:color w:val="000000"/>
                <w:lang w:eastAsia="tr-TR"/>
              </w:rPr>
            </w:pPr>
            <w:r w:rsidRPr="00231783">
              <w:rPr>
                <w:rFonts w:ascii="Calibri" w:eastAsia="Times New Roman" w:hAnsi="Calibri" w:cs="Calibri"/>
                <w:b/>
                <w:bCs/>
                <w:color w:val="000000"/>
                <w:lang w:eastAsia="tr-TR"/>
              </w:rPr>
              <w:t>Kabotaj</w:t>
            </w:r>
          </w:p>
        </w:tc>
        <w:tc>
          <w:tcPr>
            <w:tcW w:w="913" w:type="dxa"/>
            <w:shd w:val="clear" w:color="auto" w:fill="FFC000"/>
            <w:noWrap/>
            <w:vAlign w:val="bottom"/>
            <w:hideMark/>
          </w:tcPr>
          <w:p w14:paraId="0026FBE5" w14:textId="77777777" w:rsidR="00231783" w:rsidRPr="00231783" w:rsidRDefault="00231783" w:rsidP="00231783">
            <w:pPr>
              <w:spacing w:after="0" w:line="240" w:lineRule="auto"/>
              <w:jc w:val="center"/>
              <w:rPr>
                <w:rFonts w:ascii="Calibri" w:eastAsia="Times New Roman" w:hAnsi="Calibri" w:cs="Calibri"/>
                <w:b/>
                <w:bCs/>
                <w:color w:val="000000"/>
                <w:lang w:eastAsia="tr-TR"/>
              </w:rPr>
            </w:pPr>
            <w:r w:rsidRPr="00231783">
              <w:rPr>
                <w:rFonts w:ascii="Calibri" w:eastAsia="Times New Roman" w:hAnsi="Calibri" w:cs="Calibri"/>
                <w:b/>
                <w:bCs/>
                <w:color w:val="000000"/>
                <w:lang w:eastAsia="tr-TR"/>
              </w:rPr>
              <w:t>Transit</w:t>
            </w:r>
          </w:p>
        </w:tc>
        <w:tc>
          <w:tcPr>
            <w:tcW w:w="952" w:type="dxa"/>
            <w:shd w:val="clear" w:color="auto" w:fill="FFC000"/>
            <w:noWrap/>
            <w:vAlign w:val="bottom"/>
            <w:hideMark/>
          </w:tcPr>
          <w:p w14:paraId="729A2A99" w14:textId="77777777" w:rsidR="00231783" w:rsidRPr="00231783" w:rsidRDefault="00231783" w:rsidP="00231783">
            <w:pPr>
              <w:spacing w:after="0" w:line="240" w:lineRule="auto"/>
              <w:jc w:val="center"/>
              <w:rPr>
                <w:rFonts w:ascii="Calibri" w:eastAsia="Times New Roman" w:hAnsi="Calibri" w:cs="Calibri"/>
                <w:b/>
                <w:bCs/>
                <w:color w:val="000000"/>
                <w:lang w:eastAsia="tr-TR"/>
              </w:rPr>
            </w:pPr>
            <w:r w:rsidRPr="00231783">
              <w:rPr>
                <w:rFonts w:ascii="Calibri" w:eastAsia="Times New Roman" w:hAnsi="Calibri" w:cs="Calibri"/>
                <w:b/>
                <w:bCs/>
                <w:color w:val="000000"/>
                <w:lang w:eastAsia="tr-TR"/>
              </w:rPr>
              <w:t>Toplam</w:t>
            </w:r>
          </w:p>
        </w:tc>
      </w:tr>
      <w:tr w:rsidR="00231783" w:rsidRPr="00231783" w14:paraId="0ECCD6BF" w14:textId="77777777" w:rsidTr="006B3BD6">
        <w:trPr>
          <w:trHeight w:val="285"/>
          <w:jc w:val="center"/>
        </w:trPr>
        <w:tc>
          <w:tcPr>
            <w:tcW w:w="1276" w:type="dxa"/>
            <w:shd w:val="clear" w:color="DEEAF6" w:fill="DEEAF6"/>
            <w:noWrap/>
            <w:vAlign w:val="bottom"/>
            <w:hideMark/>
          </w:tcPr>
          <w:p w14:paraId="6D595ED3"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Ocak</w:t>
            </w:r>
          </w:p>
        </w:tc>
        <w:tc>
          <w:tcPr>
            <w:tcW w:w="887" w:type="dxa"/>
            <w:shd w:val="clear" w:color="C6EFCE" w:fill="C6EFCE"/>
            <w:noWrap/>
            <w:vAlign w:val="bottom"/>
            <w:hideMark/>
          </w:tcPr>
          <w:p w14:paraId="1897B473"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4,4%</w:t>
            </w:r>
          </w:p>
        </w:tc>
        <w:tc>
          <w:tcPr>
            <w:tcW w:w="852" w:type="dxa"/>
            <w:shd w:val="clear" w:color="FFC7CE" w:fill="FFC7CE"/>
            <w:noWrap/>
            <w:vAlign w:val="bottom"/>
            <w:hideMark/>
          </w:tcPr>
          <w:p w14:paraId="0EF2538E"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-7,9%</w:t>
            </w:r>
          </w:p>
        </w:tc>
        <w:tc>
          <w:tcPr>
            <w:tcW w:w="980" w:type="dxa"/>
            <w:shd w:val="clear" w:color="FFC7CE" w:fill="FFC7CE"/>
            <w:noWrap/>
            <w:vAlign w:val="bottom"/>
            <w:hideMark/>
          </w:tcPr>
          <w:p w14:paraId="017C35C6"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-0,2%</w:t>
            </w:r>
          </w:p>
        </w:tc>
        <w:tc>
          <w:tcPr>
            <w:tcW w:w="913" w:type="dxa"/>
            <w:shd w:val="clear" w:color="C6EFCE" w:fill="C6EFCE"/>
            <w:noWrap/>
            <w:vAlign w:val="bottom"/>
            <w:hideMark/>
          </w:tcPr>
          <w:p w14:paraId="15278F79"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22,7%</w:t>
            </w:r>
          </w:p>
        </w:tc>
        <w:tc>
          <w:tcPr>
            <w:tcW w:w="952" w:type="dxa"/>
            <w:shd w:val="clear" w:color="C6EFCE" w:fill="C6EFCE"/>
            <w:noWrap/>
            <w:vAlign w:val="bottom"/>
            <w:hideMark/>
          </w:tcPr>
          <w:p w14:paraId="29B7E4AF"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2,0%</w:t>
            </w:r>
          </w:p>
        </w:tc>
      </w:tr>
      <w:tr w:rsidR="00231783" w:rsidRPr="00231783" w14:paraId="015F3F24" w14:textId="77777777" w:rsidTr="006B3BD6">
        <w:trPr>
          <w:trHeight w:val="285"/>
          <w:jc w:val="center"/>
        </w:trPr>
        <w:tc>
          <w:tcPr>
            <w:tcW w:w="1276" w:type="dxa"/>
            <w:shd w:val="clear" w:color="DEEAF6" w:fill="DEEAF6"/>
            <w:noWrap/>
            <w:vAlign w:val="bottom"/>
            <w:hideMark/>
          </w:tcPr>
          <w:p w14:paraId="63570BF4"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Şubat</w:t>
            </w:r>
          </w:p>
        </w:tc>
        <w:tc>
          <w:tcPr>
            <w:tcW w:w="887" w:type="dxa"/>
            <w:shd w:val="clear" w:color="C6EFCE" w:fill="C6EFCE"/>
            <w:noWrap/>
            <w:vAlign w:val="bottom"/>
            <w:hideMark/>
          </w:tcPr>
          <w:p w14:paraId="1D72786E"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31,4%</w:t>
            </w:r>
          </w:p>
        </w:tc>
        <w:tc>
          <w:tcPr>
            <w:tcW w:w="852" w:type="dxa"/>
            <w:shd w:val="clear" w:color="C6EFCE" w:fill="C6EFCE"/>
            <w:noWrap/>
            <w:vAlign w:val="bottom"/>
            <w:hideMark/>
          </w:tcPr>
          <w:p w14:paraId="4B82DB98"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21,8%</w:t>
            </w:r>
          </w:p>
        </w:tc>
        <w:tc>
          <w:tcPr>
            <w:tcW w:w="980" w:type="dxa"/>
            <w:shd w:val="clear" w:color="C6EFCE" w:fill="C6EFCE"/>
            <w:noWrap/>
            <w:vAlign w:val="bottom"/>
            <w:hideMark/>
          </w:tcPr>
          <w:p w14:paraId="762F2291"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21,9%</w:t>
            </w:r>
          </w:p>
        </w:tc>
        <w:tc>
          <w:tcPr>
            <w:tcW w:w="913" w:type="dxa"/>
            <w:shd w:val="clear" w:color="C6EFCE" w:fill="C6EFCE"/>
            <w:noWrap/>
            <w:vAlign w:val="bottom"/>
            <w:hideMark/>
          </w:tcPr>
          <w:p w14:paraId="094E1867"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109,3%</w:t>
            </w:r>
          </w:p>
        </w:tc>
        <w:tc>
          <w:tcPr>
            <w:tcW w:w="952" w:type="dxa"/>
            <w:shd w:val="clear" w:color="C6EFCE" w:fill="C6EFCE"/>
            <w:noWrap/>
            <w:vAlign w:val="bottom"/>
            <w:hideMark/>
          </w:tcPr>
          <w:p w14:paraId="140AE77C"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38,9%</w:t>
            </w:r>
          </w:p>
        </w:tc>
      </w:tr>
      <w:tr w:rsidR="00231783" w:rsidRPr="00231783" w14:paraId="678A95D3" w14:textId="77777777" w:rsidTr="006B3BD6">
        <w:trPr>
          <w:trHeight w:val="285"/>
          <w:jc w:val="center"/>
        </w:trPr>
        <w:tc>
          <w:tcPr>
            <w:tcW w:w="1276" w:type="dxa"/>
            <w:shd w:val="clear" w:color="DEEAF6" w:fill="DEEAF6"/>
            <w:noWrap/>
            <w:vAlign w:val="bottom"/>
            <w:hideMark/>
          </w:tcPr>
          <w:p w14:paraId="3E05F94E"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Mart</w:t>
            </w:r>
          </w:p>
        </w:tc>
        <w:tc>
          <w:tcPr>
            <w:tcW w:w="887" w:type="dxa"/>
            <w:shd w:val="clear" w:color="C6EFCE" w:fill="C6EFCE"/>
            <w:noWrap/>
            <w:vAlign w:val="bottom"/>
            <w:hideMark/>
          </w:tcPr>
          <w:p w14:paraId="063A0C24"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6,8%</w:t>
            </w:r>
          </w:p>
        </w:tc>
        <w:tc>
          <w:tcPr>
            <w:tcW w:w="852" w:type="dxa"/>
            <w:shd w:val="clear" w:color="C6EFCE" w:fill="C6EFCE"/>
            <w:noWrap/>
            <w:vAlign w:val="bottom"/>
            <w:hideMark/>
          </w:tcPr>
          <w:p w14:paraId="7BF0881B"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7,0%</w:t>
            </w:r>
          </w:p>
        </w:tc>
        <w:tc>
          <w:tcPr>
            <w:tcW w:w="980" w:type="dxa"/>
            <w:shd w:val="clear" w:color="C6EFCE" w:fill="C6EFCE"/>
            <w:noWrap/>
            <w:vAlign w:val="bottom"/>
            <w:hideMark/>
          </w:tcPr>
          <w:p w14:paraId="55A27B81"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28,8%</w:t>
            </w:r>
          </w:p>
        </w:tc>
        <w:tc>
          <w:tcPr>
            <w:tcW w:w="913" w:type="dxa"/>
            <w:shd w:val="clear" w:color="C6EFCE" w:fill="C6EFCE"/>
            <w:noWrap/>
            <w:vAlign w:val="bottom"/>
            <w:hideMark/>
          </w:tcPr>
          <w:p w14:paraId="5568DBE7"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58,0%</w:t>
            </w:r>
          </w:p>
        </w:tc>
        <w:tc>
          <w:tcPr>
            <w:tcW w:w="952" w:type="dxa"/>
            <w:shd w:val="clear" w:color="C6EFCE" w:fill="C6EFCE"/>
            <w:noWrap/>
            <w:vAlign w:val="bottom"/>
            <w:hideMark/>
          </w:tcPr>
          <w:p w14:paraId="32C9172B"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16,3%</w:t>
            </w:r>
          </w:p>
        </w:tc>
      </w:tr>
      <w:tr w:rsidR="00231783" w:rsidRPr="00231783" w14:paraId="2B164A28" w14:textId="77777777" w:rsidTr="006B3BD6">
        <w:trPr>
          <w:trHeight w:val="285"/>
          <w:jc w:val="center"/>
        </w:trPr>
        <w:tc>
          <w:tcPr>
            <w:tcW w:w="1276" w:type="dxa"/>
            <w:shd w:val="clear" w:color="DEEAF6" w:fill="DEEAF6"/>
            <w:noWrap/>
            <w:vAlign w:val="bottom"/>
            <w:hideMark/>
          </w:tcPr>
          <w:p w14:paraId="4AA2AB40"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Nisan</w:t>
            </w:r>
          </w:p>
        </w:tc>
        <w:tc>
          <w:tcPr>
            <w:tcW w:w="887" w:type="dxa"/>
            <w:shd w:val="clear" w:color="FFC7CE" w:fill="FFC7CE"/>
            <w:noWrap/>
            <w:vAlign w:val="bottom"/>
            <w:hideMark/>
          </w:tcPr>
          <w:p w14:paraId="5D9089CB"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-4,1%</w:t>
            </w:r>
          </w:p>
        </w:tc>
        <w:tc>
          <w:tcPr>
            <w:tcW w:w="852" w:type="dxa"/>
            <w:shd w:val="clear" w:color="C6EFCE" w:fill="C6EFCE"/>
            <w:noWrap/>
            <w:vAlign w:val="bottom"/>
            <w:hideMark/>
          </w:tcPr>
          <w:p w14:paraId="0D031EE5"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4,6%</w:t>
            </w:r>
          </w:p>
        </w:tc>
        <w:tc>
          <w:tcPr>
            <w:tcW w:w="980" w:type="dxa"/>
            <w:shd w:val="clear" w:color="C6EFCE" w:fill="C6EFCE"/>
            <w:noWrap/>
            <w:vAlign w:val="bottom"/>
            <w:hideMark/>
          </w:tcPr>
          <w:p w14:paraId="4BC4EB1E"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4,1%</w:t>
            </w:r>
          </w:p>
        </w:tc>
        <w:tc>
          <w:tcPr>
            <w:tcW w:w="913" w:type="dxa"/>
            <w:shd w:val="clear" w:color="C6EFCE" w:fill="C6EFCE"/>
            <w:noWrap/>
            <w:vAlign w:val="bottom"/>
            <w:hideMark/>
          </w:tcPr>
          <w:p w14:paraId="5C7CB304"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57,5%</w:t>
            </w:r>
          </w:p>
        </w:tc>
        <w:tc>
          <w:tcPr>
            <w:tcW w:w="952" w:type="dxa"/>
            <w:shd w:val="clear" w:color="C6EFCE" w:fill="C6EFCE"/>
            <w:noWrap/>
            <w:vAlign w:val="bottom"/>
            <w:hideMark/>
          </w:tcPr>
          <w:p w14:paraId="36EC877B"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9,9%</w:t>
            </w:r>
          </w:p>
        </w:tc>
      </w:tr>
      <w:tr w:rsidR="00231783" w:rsidRPr="00231783" w14:paraId="58E3F202" w14:textId="77777777" w:rsidTr="006B3BD6">
        <w:trPr>
          <w:trHeight w:val="285"/>
          <w:jc w:val="center"/>
        </w:trPr>
        <w:tc>
          <w:tcPr>
            <w:tcW w:w="1276" w:type="dxa"/>
            <w:shd w:val="clear" w:color="DEEAF6" w:fill="DEEAF6"/>
            <w:noWrap/>
            <w:vAlign w:val="bottom"/>
            <w:hideMark/>
          </w:tcPr>
          <w:p w14:paraId="1127BD85"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Mayıs</w:t>
            </w:r>
          </w:p>
        </w:tc>
        <w:tc>
          <w:tcPr>
            <w:tcW w:w="887" w:type="dxa"/>
            <w:shd w:val="clear" w:color="FFC7CE" w:fill="FFC7CE"/>
            <w:noWrap/>
            <w:vAlign w:val="bottom"/>
            <w:hideMark/>
          </w:tcPr>
          <w:p w14:paraId="3C9E5AC1"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-1,7%</w:t>
            </w:r>
          </w:p>
        </w:tc>
        <w:tc>
          <w:tcPr>
            <w:tcW w:w="852" w:type="dxa"/>
            <w:shd w:val="clear" w:color="FFC7CE" w:fill="FFC7CE"/>
            <w:noWrap/>
            <w:vAlign w:val="bottom"/>
            <w:hideMark/>
          </w:tcPr>
          <w:p w14:paraId="220C63E0"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-8,3%</w:t>
            </w:r>
          </w:p>
        </w:tc>
        <w:tc>
          <w:tcPr>
            <w:tcW w:w="980" w:type="dxa"/>
            <w:shd w:val="clear" w:color="C6EFCE" w:fill="C6EFCE"/>
            <w:noWrap/>
            <w:vAlign w:val="bottom"/>
            <w:hideMark/>
          </w:tcPr>
          <w:p w14:paraId="50603FF9"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30,4%</w:t>
            </w:r>
          </w:p>
        </w:tc>
        <w:tc>
          <w:tcPr>
            <w:tcW w:w="913" w:type="dxa"/>
            <w:shd w:val="clear" w:color="C6EFCE" w:fill="C6EFCE"/>
            <w:noWrap/>
            <w:vAlign w:val="bottom"/>
            <w:hideMark/>
          </w:tcPr>
          <w:p w14:paraId="178304C2"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35,4%</w:t>
            </w:r>
          </w:p>
        </w:tc>
        <w:tc>
          <w:tcPr>
            <w:tcW w:w="952" w:type="dxa"/>
            <w:shd w:val="clear" w:color="C6EFCE" w:fill="C6EFCE"/>
            <w:noWrap/>
            <w:vAlign w:val="bottom"/>
            <w:hideMark/>
          </w:tcPr>
          <w:p w14:paraId="185A3D07"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3,4%</w:t>
            </w:r>
          </w:p>
        </w:tc>
      </w:tr>
      <w:tr w:rsidR="00231783" w:rsidRPr="00231783" w14:paraId="66AA4E7A" w14:textId="77777777" w:rsidTr="006B3BD6">
        <w:trPr>
          <w:trHeight w:val="285"/>
          <w:jc w:val="center"/>
        </w:trPr>
        <w:tc>
          <w:tcPr>
            <w:tcW w:w="1276" w:type="dxa"/>
            <w:shd w:val="clear" w:color="DEEAF6" w:fill="DEEAF6"/>
            <w:noWrap/>
            <w:vAlign w:val="bottom"/>
            <w:hideMark/>
          </w:tcPr>
          <w:p w14:paraId="3BC826F8"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Haziran</w:t>
            </w:r>
          </w:p>
        </w:tc>
        <w:tc>
          <w:tcPr>
            <w:tcW w:w="887" w:type="dxa"/>
            <w:shd w:val="clear" w:color="FFC7CE" w:fill="FFC7CE"/>
            <w:noWrap/>
            <w:vAlign w:val="bottom"/>
            <w:hideMark/>
          </w:tcPr>
          <w:p w14:paraId="088BD5AF"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-6,3%</w:t>
            </w:r>
          </w:p>
        </w:tc>
        <w:tc>
          <w:tcPr>
            <w:tcW w:w="852" w:type="dxa"/>
            <w:shd w:val="clear" w:color="C6EFCE" w:fill="C6EFCE"/>
            <w:noWrap/>
            <w:vAlign w:val="bottom"/>
            <w:hideMark/>
          </w:tcPr>
          <w:p w14:paraId="77914907"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3,0%</w:t>
            </w:r>
          </w:p>
        </w:tc>
        <w:tc>
          <w:tcPr>
            <w:tcW w:w="980" w:type="dxa"/>
            <w:shd w:val="clear" w:color="C6EFCE" w:fill="C6EFCE"/>
            <w:noWrap/>
            <w:vAlign w:val="bottom"/>
            <w:hideMark/>
          </w:tcPr>
          <w:p w14:paraId="1BAB8310"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12,9%</w:t>
            </w:r>
          </w:p>
        </w:tc>
        <w:tc>
          <w:tcPr>
            <w:tcW w:w="913" w:type="dxa"/>
            <w:shd w:val="clear" w:color="C6EFCE" w:fill="C6EFCE"/>
            <w:noWrap/>
            <w:vAlign w:val="bottom"/>
            <w:hideMark/>
          </w:tcPr>
          <w:p w14:paraId="1DCFB77C"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22,3%</w:t>
            </w:r>
          </w:p>
        </w:tc>
        <w:tc>
          <w:tcPr>
            <w:tcW w:w="952" w:type="dxa"/>
            <w:shd w:val="clear" w:color="C6EFCE" w:fill="C6EFCE"/>
            <w:noWrap/>
            <w:vAlign w:val="bottom"/>
            <w:hideMark/>
          </w:tcPr>
          <w:p w14:paraId="44BECC24"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3,2%</w:t>
            </w:r>
          </w:p>
        </w:tc>
      </w:tr>
      <w:tr w:rsidR="00231783" w:rsidRPr="00231783" w14:paraId="444E0673" w14:textId="77777777" w:rsidTr="006B3BD6">
        <w:trPr>
          <w:trHeight w:val="285"/>
          <w:jc w:val="center"/>
        </w:trPr>
        <w:tc>
          <w:tcPr>
            <w:tcW w:w="1276" w:type="dxa"/>
            <w:shd w:val="clear" w:color="DEEAF6" w:fill="DEEAF6"/>
            <w:noWrap/>
            <w:vAlign w:val="bottom"/>
            <w:hideMark/>
          </w:tcPr>
          <w:p w14:paraId="2E919083"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Temmuz</w:t>
            </w:r>
          </w:p>
        </w:tc>
        <w:tc>
          <w:tcPr>
            <w:tcW w:w="887" w:type="dxa"/>
            <w:shd w:val="clear" w:color="C6EFCE" w:fill="C6EFCE"/>
            <w:noWrap/>
            <w:vAlign w:val="bottom"/>
            <w:hideMark/>
          </w:tcPr>
          <w:p w14:paraId="2161C48A"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4,0%</w:t>
            </w:r>
          </w:p>
        </w:tc>
        <w:tc>
          <w:tcPr>
            <w:tcW w:w="852" w:type="dxa"/>
            <w:shd w:val="clear" w:color="FFC7CE" w:fill="FFC7CE"/>
            <w:noWrap/>
            <w:vAlign w:val="bottom"/>
            <w:hideMark/>
          </w:tcPr>
          <w:p w14:paraId="3EBD9888"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-11,3%</w:t>
            </w:r>
          </w:p>
        </w:tc>
        <w:tc>
          <w:tcPr>
            <w:tcW w:w="980" w:type="dxa"/>
            <w:shd w:val="clear" w:color="C6EFCE" w:fill="C6EFCE"/>
            <w:noWrap/>
            <w:vAlign w:val="bottom"/>
            <w:hideMark/>
          </w:tcPr>
          <w:p w14:paraId="0A916E4E"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21,2%</w:t>
            </w:r>
          </w:p>
        </w:tc>
        <w:tc>
          <w:tcPr>
            <w:tcW w:w="913" w:type="dxa"/>
            <w:shd w:val="clear" w:color="C6EFCE" w:fill="C6EFCE"/>
            <w:noWrap/>
            <w:vAlign w:val="bottom"/>
            <w:hideMark/>
          </w:tcPr>
          <w:p w14:paraId="08415219"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7,9%</w:t>
            </w:r>
          </w:p>
        </w:tc>
        <w:tc>
          <w:tcPr>
            <w:tcW w:w="952" w:type="dxa"/>
            <w:shd w:val="clear" w:color="FFC7CE" w:fill="FFC7CE"/>
            <w:noWrap/>
            <w:vAlign w:val="bottom"/>
            <w:hideMark/>
          </w:tcPr>
          <w:p w14:paraId="4CF73F8E"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-0,2%</w:t>
            </w:r>
          </w:p>
        </w:tc>
      </w:tr>
      <w:tr w:rsidR="00231783" w:rsidRPr="00231783" w14:paraId="171A7113" w14:textId="77777777" w:rsidTr="006B3BD6">
        <w:trPr>
          <w:trHeight w:val="285"/>
          <w:jc w:val="center"/>
        </w:trPr>
        <w:tc>
          <w:tcPr>
            <w:tcW w:w="1276" w:type="dxa"/>
            <w:shd w:val="clear" w:color="DEEAF6" w:fill="DEEAF6"/>
            <w:noWrap/>
            <w:vAlign w:val="bottom"/>
            <w:hideMark/>
          </w:tcPr>
          <w:p w14:paraId="005A37C8"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Ağustos</w:t>
            </w:r>
          </w:p>
        </w:tc>
        <w:tc>
          <w:tcPr>
            <w:tcW w:w="887" w:type="dxa"/>
            <w:shd w:val="clear" w:color="C6EFCE" w:fill="C6EFCE"/>
            <w:noWrap/>
            <w:vAlign w:val="bottom"/>
            <w:hideMark/>
          </w:tcPr>
          <w:p w14:paraId="201AAA82"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0,6%</w:t>
            </w:r>
          </w:p>
        </w:tc>
        <w:tc>
          <w:tcPr>
            <w:tcW w:w="852" w:type="dxa"/>
            <w:shd w:val="clear" w:color="C6EFCE" w:fill="C6EFCE"/>
            <w:noWrap/>
            <w:vAlign w:val="bottom"/>
            <w:hideMark/>
          </w:tcPr>
          <w:p w14:paraId="3A0BEF35"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1,9%</w:t>
            </w:r>
          </w:p>
        </w:tc>
        <w:tc>
          <w:tcPr>
            <w:tcW w:w="980" w:type="dxa"/>
            <w:shd w:val="clear" w:color="C6EFCE" w:fill="C6EFCE"/>
            <w:noWrap/>
            <w:vAlign w:val="bottom"/>
            <w:hideMark/>
          </w:tcPr>
          <w:p w14:paraId="76E48C08"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20,2%</w:t>
            </w:r>
          </w:p>
        </w:tc>
        <w:tc>
          <w:tcPr>
            <w:tcW w:w="913" w:type="dxa"/>
            <w:shd w:val="clear" w:color="C6EFCE" w:fill="C6EFCE"/>
            <w:noWrap/>
            <w:vAlign w:val="bottom"/>
            <w:hideMark/>
          </w:tcPr>
          <w:p w14:paraId="38DD0F8F"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25,5%</w:t>
            </w:r>
          </w:p>
        </w:tc>
        <w:tc>
          <w:tcPr>
            <w:tcW w:w="952" w:type="dxa"/>
            <w:shd w:val="clear" w:color="C6EFCE" w:fill="C6EFCE"/>
            <w:noWrap/>
            <w:vAlign w:val="bottom"/>
            <w:hideMark/>
          </w:tcPr>
          <w:p w14:paraId="13AAB625"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6,5%</w:t>
            </w:r>
          </w:p>
        </w:tc>
      </w:tr>
      <w:tr w:rsidR="00231783" w:rsidRPr="00231783" w14:paraId="438D8884" w14:textId="77777777" w:rsidTr="006B3BD6">
        <w:trPr>
          <w:trHeight w:val="285"/>
          <w:jc w:val="center"/>
        </w:trPr>
        <w:tc>
          <w:tcPr>
            <w:tcW w:w="1276" w:type="dxa"/>
            <w:shd w:val="clear" w:color="DEEAF6" w:fill="DEEAF6"/>
            <w:noWrap/>
            <w:vAlign w:val="bottom"/>
            <w:hideMark/>
          </w:tcPr>
          <w:p w14:paraId="6C70B240"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Eylül</w:t>
            </w:r>
          </w:p>
        </w:tc>
        <w:tc>
          <w:tcPr>
            <w:tcW w:w="887" w:type="dxa"/>
            <w:shd w:val="clear" w:color="FFC7CE" w:fill="FFC7CE"/>
            <w:noWrap/>
            <w:vAlign w:val="bottom"/>
            <w:hideMark/>
          </w:tcPr>
          <w:p w14:paraId="3A7344FA"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-5,8%</w:t>
            </w:r>
          </w:p>
        </w:tc>
        <w:tc>
          <w:tcPr>
            <w:tcW w:w="852" w:type="dxa"/>
            <w:shd w:val="clear" w:color="FFC7CE" w:fill="FFC7CE"/>
            <w:noWrap/>
            <w:vAlign w:val="bottom"/>
            <w:hideMark/>
          </w:tcPr>
          <w:p w14:paraId="7329EAE2"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-4,7%</w:t>
            </w:r>
          </w:p>
        </w:tc>
        <w:tc>
          <w:tcPr>
            <w:tcW w:w="980" w:type="dxa"/>
            <w:shd w:val="clear" w:color="C6EFCE" w:fill="C6EFCE"/>
            <w:noWrap/>
            <w:vAlign w:val="bottom"/>
            <w:hideMark/>
          </w:tcPr>
          <w:p w14:paraId="2A24C58E"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43,3%</w:t>
            </w:r>
          </w:p>
        </w:tc>
        <w:tc>
          <w:tcPr>
            <w:tcW w:w="913" w:type="dxa"/>
            <w:shd w:val="clear" w:color="C6EFCE" w:fill="C6EFCE"/>
            <w:noWrap/>
            <w:vAlign w:val="bottom"/>
            <w:hideMark/>
          </w:tcPr>
          <w:p w14:paraId="5FBBB053"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19,8%</w:t>
            </w:r>
          </w:p>
        </w:tc>
        <w:tc>
          <w:tcPr>
            <w:tcW w:w="952" w:type="dxa"/>
            <w:shd w:val="clear" w:color="C6EFCE" w:fill="C6EFCE"/>
            <w:noWrap/>
            <w:vAlign w:val="bottom"/>
            <w:hideMark/>
          </w:tcPr>
          <w:p w14:paraId="3E6854E4"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1,4%</w:t>
            </w:r>
          </w:p>
        </w:tc>
      </w:tr>
      <w:tr w:rsidR="00231783" w:rsidRPr="00231783" w14:paraId="3419CE97" w14:textId="77777777" w:rsidTr="006B3BD6">
        <w:trPr>
          <w:trHeight w:val="285"/>
          <w:jc w:val="center"/>
        </w:trPr>
        <w:tc>
          <w:tcPr>
            <w:tcW w:w="1276" w:type="dxa"/>
            <w:shd w:val="clear" w:color="DEEAF6" w:fill="DEEAF6"/>
            <w:noWrap/>
            <w:vAlign w:val="bottom"/>
            <w:hideMark/>
          </w:tcPr>
          <w:p w14:paraId="27BB1A0E"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Ekim</w:t>
            </w:r>
          </w:p>
        </w:tc>
        <w:tc>
          <w:tcPr>
            <w:tcW w:w="887" w:type="dxa"/>
            <w:shd w:val="clear" w:color="FFC7CE" w:fill="FFC7CE"/>
            <w:noWrap/>
            <w:vAlign w:val="bottom"/>
            <w:hideMark/>
          </w:tcPr>
          <w:p w14:paraId="4FE3465B"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-6,9%</w:t>
            </w:r>
          </w:p>
        </w:tc>
        <w:tc>
          <w:tcPr>
            <w:tcW w:w="852" w:type="dxa"/>
            <w:shd w:val="clear" w:color="C6EFCE" w:fill="C6EFCE"/>
            <w:noWrap/>
            <w:vAlign w:val="bottom"/>
            <w:hideMark/>
          </w:tcPr>
          <w:p w14:paraId="5D0EDE88"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3,3%</w:t>
            </w:r>
          </w:p>
        </w:tc>
        <w:tc>
          <w:tcPr>
            <w:tcW w:w="980" w:type="dxa"/>
            <w:shd w:val="clear" w:color="C6EFCE" w:fill="C6EFCE"/>
            <w:noWrap/>
            <w:vAlign w:val="bottom"/>
            <w:hideMark/>
          </w:tcPr>
          <w:p w14:paraId="1E7C0091"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9,0%</w:t>
            </w:r>
          </w:p>
        </w:tc>
        <w:tc>
          <w:tcPr>
            <w:tcW w:w="913" w:type="dxa"/>
            <w:shd w:val="clear" w:color="C6EFCE" w:fill="C6EFCE"/>
            <w:noWrap/>
            <w:vAlign w:val="bottom"/>
            <w:hideMark/>
          </w:tcPr>
          <w:p w14:paraId="162E8981"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28,0%</w:t>
            </w:r>
          </w:p>
        </w:tc>
        <w:tc>
          <w:tcPr>
            <w:tcW w:w="952" w:type="dxa"/>
            <w:shd w:val="clear" w:color="C6EFCE" w:fill="C6EFCE"/>
            <w:noWrap/>
            <w:vAlign w:val="bottom"/>
            <w:hideMark/>
          </w:tcPr>
          <w:p w14:paraId="125DD0A4"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3,3%</w:t>
            </w:r>
          </w:p>
        </w:tc>
      </w:tr>
      <w:tr w:rsidR="00231783" w:rsidRPr="00231783" w14:paraId="190DA307" w14:textId="77777777" w:rsidTr="006B3BD6">
        <w:trPr>
          <w:trHeight w:val="285"/>
          <w:jc w:val="center"/>
        </w:trPr>
        <w:tc>
          <w:tcPr>
            <w:tcW w:w="1276" w:type="dxa"/>
            <w:shd w:val="clear" w:color="DEEAF6" w:fill="DEEAF6"/>
            <w:noWrap/>
            <w:vAlign w:val="bottom"/>
            <w:hideMark/>
          </w:tcPr>
          <w:p w14:paraId="5D17345F"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Kasım</w:t>
            </w:r>
          </w:p>
        </w:tc>
        <w:tc>
          <w:tcPr>
            <w:tcW w:w="887" w:type="dxa"/>
            <w:shd w:val="clear" w:color="C6EFCE" w:fill="C6EFCE"/>
            <w:noWrap/>
            <w:vAlign w:val="bottom"/>
            <w:hideMark/>
          </w:tcPr>
          <w:p w14:paraId="5E40FF38"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10,3%</w:t>
            </w:r>
          </w:p>
        </w:tc>
        <w:tc>
          <w:tcPr>
            <w:tcW w:w="852" w:type="dxa"/>
            <w:shd w:val="clear" w:color="C6EFCE" w:fill="C6EFCE"/>
            <w:noWrap/>
            <w:vAlign w:val="bottom"/>
            <w:hideMark/>
          </w:tcPr>
          <w:p w14:paraId="7E8BF7F5"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12,1%</w:t>
            </w:r>
          </w:p>
        </w:tc>
        <w:tc>
          <w:tcPr>
            <w:tcW w:w="980" w:type="dxa"/>
            <w:shd w:val="clear" w:color="C6EFCE" w:fill="C6EFCE"/>
            <w:noWrap/>
            <w:vAlign w:val="bottom"/>
            <w:hideMark/>
          </w:tcPr>
          <w:p w14:paraId="5AB4726E"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18,2%</w:t>
            </w:r>
          </w:p>
        </w:tc>
        <w:tc>
          <w:tcPr>
            <w:tcW w:w="913" w:type="dxa"/>
            <w:shd w:val="clear" w:color="C6EFCE" w:fill="C6EFCE"/>
            <w:noWrap/>
            <w:vAlign w:val="bottom"/>
            <w:hideMark/>
          </w:tcPr>
          <w:p w14:paraId="5796CCB0"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39,3%</w:t>
            </w:r>
          </w:p>
        </w:tc>
        <w:tc>
          <w:tcPr>
            <w:tcW w:w="952" w:type="dxa"/>
            <w:shd w:val="clear" w:color="C6EFCE" w:fill="C6EFCE"/>
            <w:noWrap/>
            <w:vAlign w:val="bottom"/>
            <w:hideMark/>
          </w:tcPr>
          <w:p w14:paraId="4F3756E6"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16,1%</w:t>
            </w:r>
          </w:p>
        </w:tc>
      </w:tr>
      <w:tr w:rsidR="00231783" w:rsidRPr="00231783" w14:paraId="48D8158B" w14:textId="77777777" w:rsidTr="006B3BD6">
        <w:trPr>
          <w:trHeight w:val="285"/>
          <w:jc w:val="center"/>
        </w:trPr>
        <w:tc>
          <w:tcPr>
            <w:tcW w:w="1276" w:type="dxa"/>
            <w:shd w:val="clear" w:color="DEEAF6" w:fill="DEEAF6"/>
            <w:noWrap/>
            <w:vAlign w:val="bottom"/>
            <w:hideMark/>
          </w:tcPr>
          <w:p w14:paraId="3B34057B" w14:textId="77777777" w:rsidR="00231783" w:rsidRPr="00231783" w:rsidRDefault="00231783" w:rsidP="00231783">
            <w:pPr>
              <w:spacing w:after="0" w:line="240" w:lineRule="auto"/>
              <w:rPr>
                <w:rFonts w:ascii="Calibri" w:eastAsia="Times New Roman" w:hAnsi="Calibri" w:cs="Calibri"/>
                <w:color w:val="000000"/>
                <w:lang w:eastAsia="tr-TR"/>
              </w:rPr>
            </w:pPr>
            <w:r w:rsidRPr="00231783">
              <w:rPr>
                <w:rFonts w:ascii="Calibri" w:eastAsia="Times New Roman" w:hAnsi="Calibri" w:cs="Calibri"/>
                <w:color w:val="000000"/>
                <w:lang w:eastAsia="tr-TR"/>
              </w:rPr>
              <w:t>Aralık</w:t>
            </w:r>
          </w:p>
        </w:tc>
        <w:tc>
          <w:tcPr>
            <w:tcW w:w="887" w:type="dxa"/>
            <w:shd w:val="clear" w:color="FFC7CE" w:fill="FFC7CE"/>
            <w:noWrap/>
            <w:vAlign w:val="bottom"/>
            <w:hideMark/>
          </w:tcPr>
          <w:p w14:paraId="55C31387"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-4,8%</w:t>
            </w:r>
          </w:p>
        </w:tc>
        <w:tc>
          <w:tcPr>
            <w:tcW w:w="852" w:type="dxa"/>
            <w:shd w:val="clear" w:color="FFC7CE" w:fill="FFC7CE"/>
            <w:noWrap/>
            <w:vAlign w:val="bottom"/>
            <w:hideMark/>
          </w:tcPr>
          <w:p w14:paraId="37D105B3" w14:textId="77777777" w:rsidR="00231783" w:rsidRPr="00231783" w:rsidRDefault="00231783" w:rsidP="00231783">
            <w:pPr>
              <w:spacing w:after="0" w:line="240" w:lineRule="auto"/>
              <w:jc w:val="right"/>
              <w:rPr>
                <w:rFonts w:ascii="Calibri" w:eastAsia="Times New Roman" w:hAnsi="Calibri" w:cs="Calibri"/>
                <w:color w:val="9C0006"/>
                <w:lang w:eastAsia="tr-TR"/>
              </w:rPr>
            </w:pPr>
            <w:r w:rsidRPr="00231783">
              <w:rPr>
                <w:rFonts w:ascii="Calibri" w:eastAsia="Times New Roman" w:hAnsi="Calibri" w:cs="Calibri"/>
                <w:color w:val="9C0006"/>
                <w:lang w:eastAsia="tr-TR"/>
              </w:rPr>
              <w:t>-3,7%</w:t>
            </w:r>
          </w:p>
        </w:tc>
        <w:tc>
          <w:tcPr>
            <w:tcW w:w="980" w:type="dxa"/>
            <w:shd w:val="clear" w:color="C6EFCE" w:fill="C6EFCE"/>
            <w:noWrap/>
            <w:vAlign w:val="bottom"/>
            <w:hideMark/>
          </w:tcPr>
          <w:p w14:paraId="68D46DD4"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22,2%</w:t>
            </w:r>
          </w:p>
        </w:tc>
        <w:tc>
          <w:tcPr>
            <w:tcW w:w="913" w:type="dxa"/>
            <w:shd w:val="clear" w:color="C6EFCE" w:fill="C6EFCE"/>
            <w:noWrap/>
            <w:vAlign w:val="bottom"/>
            <w:hideMark/>
          </w:tcPr>
          <w:p w14:paraId="38865AFF"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18,2%</w:t>
            </w:r>
          </w:p>
        </w:tc>
        <w:tc>
          <w:tcPr>
            <w:tcW w:w="952" w:type="dxa"/>
            <w:shd w:val="clear" w:color="C6EFCE" w:fill="C6EFCE"/>
            <w:noWrap/>
            <w:vAlign w:val="bottom"/>
            <w:hideMark/>
          </w:tcPr>
          <w:p w14:paraId="155DC194" w14:textId="77777777" w:rsidR="00231783" w:rsidRPr="00231783" w:rsidRDefault="00231783" w:rsidP="00231783">
            <w:pPr>
              <w:spacing w:after="0" w:line="240" w:lineRule="auto"/>
              <w:jc w:val="right"/>
              <w:rPr>
                <w:rFonts w:ascii="Calibri" w:eastAsia="Times New Roman" w:hAnsi="Calibri" w:cs="Calibri"/>
                <w:color w:val="006100"/>
                <w:lang w:eastAsia="tr-TR"/>
              </w:rPr>
            </w:pPr>
            <w:r w:rsidRPr="00231783">
              <w:rPr>
                <w:rFonts w:ascii="Calibri" w:eastAsia="Times New Roman" w:hAnsi="Calibri" w:cs="Calibri"/>
                <w:color w:val="006100"/>
                <w:lang w:eastAsia="tr-TR"/>
              </w:rPr>
              <w:t>0,9%</w:t>
            </w:r>
          </w:p>
        </w:tc>
      </w:tr>
      <w:tr w:rsidR="00231783" w:rsidRPr="00231783" w14:paraId="14B51183" w14:textId="77777777" w:rsidTr="006B3BD6">
        <w:trPr>
          <w:trHeight w:val="285"/>
          <w:jc w:val="center"/>
        </w:trPr>
        <w:tc>
          <w:tcPr>
            <w:tcW w:w="1276" w:type="dxa"/>
            <w:shd w:val="clear" w:color="DEEAF6" w:fill="DEEAF6"/>
            <w:noWrap/>
            <w:vAlign w:val="bottom"/>
            <w:hideMark/>
          </w:tcPr>
          <w:p w14:paraId="24BF59FA" w14:textId="77777777" w:rsidR="00231783" w:rsidRPr="00231783" w:rsidRDefault="00231783" w:rsidP="00231783">
            <w:pPr>
              <w:spacing w:after="0" w:line="240" w:lineRule="auto"/>
              <w:rPr>
                <w:rFonts w:ascii="Calibri" w:eastAsia="Times New Roman" w:hAnsi="Calibri" w:cs="Calibri"/>
                <w:b/>
                <w:bCs/>
                <w:color w:val="000000"/>
                <w:lang w:eastAsia="tr-TR"/>
              </w:rPr>
            </w:pPr>
            <w:r w:rsidRPr="00231783">
              <w:rPr>
                <w:rFonts w:ascii="Calibri" w:eastAsia="Times New Roman" w:hAnsi="Calibri" w:cs="Calibri"/>
                <w:b/>
                <w:bCs/>
                <w:color w:val="000000"/>
                <w:lang w:eastAsia="tr-TR"/>
              </w:rPr>
              <w:t>Toplam</w:t>
            </w:r>
          </w:p>
        </w:tc>
        <w:tc>
          <w:tcPr>
            <w:tcW w:w="887" w:type="dxa"/>
            <w:shd w:val="clear" w:color="C6EFCE" w:fill="C6EFCE"/>
            <w:noWrap/>
            <w:vAlign w:val="bottom"/>
            <w:hideMark/>
          </w:tcPr>
          <w:p w14:paraId="5BEB958C" w14:textId="57B15768" w:rsidR="00231783" w:rsidRPr="00231783" w:rsidRDefault="00231783" w:rsidP="00231783">
            <w:pPr>
              <w:spacing w:after="0" w:line="240" w:lineRule="auto"/>
              <w:jc w:val="right"/>
              <w:rPr>
                <w:rFonts w:ascii="Calibri" w:eastAsia="Times New Roman" w:hAnsi="Calibri" w:cs="Calibri"/>
                <w:b/>
                <w:bCs/>
                <w:color w:val="006100"/>
                <w:lang w:eastAsia="tr-TR"/>
              </w:rPr>
            </w:pPr>
            <w:r w:rsidRPr="00231783">
              <w:rPr>
                <w:rFonts w:ascii="Calibri" w:eastAsia="Times New Roman" w:hAnsi="Calibri" w:cs="Calibri"/>
                <w:b/>
                <w:bCs/>
                <w:color w:val="006100"/>
                <w:lang w:eastAsia="tr-TR"/>
              </w:rPr>
              <w:t>1,</w:t>
            </w:r>
            <w:r w:rsidR="00EF643C">
              <w:rPr>
                <w:rFonts w:ascii="Calibri" w:eastAsia="Times New Roman" w:hAnsi="Calibri" w:cs="Calibri"/>
                <w:b/>
                <w:bCs/>
                <w:color w:val="006100"/>
                <w:lang w:eastAsia="tr-TR"/>
              </w:rPr>
              <w:t>58</w:t>
            </w:r>
            <w:r w:rsidRPr="00231783">
              <w:rPr>
                <w:rFonts w:ascii="Calibri" w:eastAsia="Times New Roman" w:hAnsi="Calibri" w:cs="Calibri"/>
                <w:b/>
                <w:bCs/>
                <w:color w:val="006100"/>
                <w:lang w:eastAsia="tr-TR"/>
              </w:rPr>
              <w:t>%</w:t>
            </w:r>
          </w:p>
        </w:tc>
        <w:tc>
          <w:tcPr>
            <w:tcW w:w="852" w:type="dxa"/>
            <w:shd w:val="clear" w:color="C6EFCE" w:fill="C6EFCE"/>
            <w:noWrap/>
            <w:vAlign w:val="bottom"/>
            <w:hideMark/>
          </w:tcPr>
          <w:p w14:paraId="77D511DE" w14:textId="49730659" w:rsidR="00231783" w:rsidRPr="00231783" w:rsidRDefault="00231783" w:rsidP="00231783">
            <w:pPr>
              <w:spacing w:after="0" w:line="240" w:lineRule="auto"/>
              <w:jc w:val="right"/>
              <w:rPr>
                <w:rFonts w:ascii="Calibri" w:eastAsia="Times New Roman" w:hAnsi="Calibri" w:cs="Calibri"/>
                <w:b/>
                <w:bCs/>
                <w:color w:val="006100"/>
                <w:lang w:eastAsia="tr-TR"/>
              </w:rPr>
            </w:pPr>
            <w:r w:rsidRPr="00231783">
              <w:rPr>
                <w:rFonts w:ascii="Calibri" w:eastAsia="Times New Roman" w:hAnsi="Calibri" w:cs="Calibri"/>
                <w:b/>
                <w:bCs/>
                <w:color w:val="006100"/>
                <w:lang w:eastAsia="tr-TR"/>
              </w:rPr>
              <w:t>0,9</w:t>
            </w:r>
            <w:r w:rsidR="00EF643C">
              <w:rPr>
                <w:rFonts w:ascii="Calibri" w:eastAsia="Times New Roman" w:hAnsi="Calibri" w:cs="Calibri"/>
                <w:b/>
                <w:bCs/>
                <w:color w:val="006100"/>
                <w:lang w:eastAsia="tr-TR"/>
              </w:rPr>
              <w:t>2</w:t>
            </w:r>
            <w:r w:rsidRPr="00231783">
              <w:rPr>
                <w:rFonts w:ascii="Calibri" w:eastAsia="Times New Roman" w:hAnsi="Calibri" w:cs="Calibri"/>
                <w:b/>
                <w:bCs/>
                <w:color w:val="006100"/>
                <w:lang w:eastAsia="tr-TR"/>
              </w:rPr>
              <w:t>%</w:t>
            </w:r>
          </w:p>
        </w:tc>
        <w:tc>
          <w:tcPr>
            <w:tcW w:w="980" w:type="dxa"/>
            <w:shd w:val="clear" w:color="C6EFCE" w:fill="C6EFCE"/>
            <w:noWrap/>
            <w:vAlign w:val="bottom"/>
            <w:hideMark/>
          </w:tcPr>
          <w:p w14:paraId="441B7513" w14:textId="5CC76ECE" w:rsidR="00231783" w:rsidRPr="00231783" w:rsidRDefault="00231783" w:rsidP="00231783">
            <w:pPr>
              <w:spacing w:after="0" w:line="240" w:lineRule="auto"/>
              <w:jc w:val="right"/>
              <w:rPr>
                <w:rFonts w:ascii="Calibri" w:eastAsia="Times New Roman" w:hAnsi="Calibri" w:cs="Calibri"/>
                <w:b/>
                <w:bCs/>
                <w:color w:val="006100"/>
                <w:lang w:eastAsia="tr-TR"/>
              </w:rPr>
            </w:pPr>
            <w:r w:rsidRPr="00231783">
              <w:rPr>
                <w:rFonts w:ascii="Calibri" w:eastAsia="Times New Roman" w:hAnsi="Calibri" w:cs="Calibri"/>
                <w:b/>
                <w:bCs/>
                <w:color w:val="006100"/>
                <w:lang w:eastAsia="tr-TR"/>
              </w:rPr>
              <w:t>18,9</w:t>
            </w:r>
            <w:r w:rsidR="00EF643C">
              <w:rPr>
                <w:rFonts w:ascii="Calibri" w:eastAsia="Times New Roman" w:hAnsi="Calibri" w:cs="Calibri"/>
                <w:b/>
                <w:bCs/>
                <w:color w:val="006100"/>
                <w:lang w:eastAsia="tr-TR"/>
              </w:rPr>
              <w:t>0</w:t>
            </w:r>
            <w:r w:rsidRPr="00231783">
              <w:rPr>
                <w:rFonts w:ascii="Calibri" w:eastAsia="Times New Roman" w:hAnsi="Calibri" w:cs="Calibri"/>
                <w:b/>
                <w:bCs/>
                <w:color w:val="006100"/>
                <w:lang w:eastAsia="tr-TR"/>
              </w:rPr>
              <w:t>%</w:t>
            </w:r>
          </w:p>
        </w:tc>
        <w:tc>
          <w:tcPr>
            <w:tcW w:w="913" w:type="dxa"/>
            <w:shd w:val="clear" w:color="C6EFCE" w:fill="C6EFCE"/>
            <w:noWrap/>
            <w:vAlign w:val="bottom"/>
            <w:hideMark/>
          </w:tcPr>
          <w:p w14:paraId="6C672474" w14:textId="69F2B2F2" w:rsidR="00231783" w:rsidRPr="00231783" w:rsidRDefault="00231783" w:rsidP="00231783">
            <w:pPr>
              <w:spacing w:after="0" w:line="240" w:lineRule="auto"/>
              <w:jc w:val="right"/>
              <w:rPr>
                <w:rFonts w:ascii="Calibri" w:eastAsia="Times New Roman" w:hAnsi="Calibri" w:cs="Calibri"/>
                <w:b/>
                <w:bCs/>
                <w:color w:val="006100"/>
                <w:lang w:eastAsia="tr-TR"/>
              </w:rPr>
            </w:pPr>
            <w:r w:rsidRPr="00231783">
              <w:rPr>
                <w:rFonts w:ascii="Calibri" w:eastAsia="Times New Roman" w:hAnsi="Calibri" w:cs="Calibri"/>
                <w:b/>
                <w:bCs/>
                <w:color w:val="006100"/>
                <w:lang w:eastAsia="tr-TR"/>
              </w:rPr>
              <w:t>34,4</w:t>
            </w:r>
            <w:r w:rsidR="00EF643C">
              <w:rPr>
                <w:rFonts w:ascii="Calibri" w:eastAsia="Times New Roman" w:hAnsi="Calibri" w:cs="Calibri"/>
                <w:b/>
                <w:bCs/>
                <w:color w:val="006100"/>
                <w:lang w:eastAsia="tr-TR"/>
              </w:rPr>
              <w:t>4</w:t>
            </w:r>
            <w:r w:rsidRPr="00231783">
              <w:rPr>
                <w:rFonts w:ascii="Calibri" w:eastAsia="Times New Roman" w:hAnsi="Calibri" w:cs="Calibri"/>
                <w:b/>
                <w:bCs/>
                <w:color w:val="006100"/>
                <w:lang w:eastAsia="tr-TR"/>
              </w:rPr>
              <w:t>%</w:t>
            </w:r>
          </w:p>
        </w:tc>
        <w:tc>
          <w:tcPr>
            <w:tcW w:w="952" w:type="dxa"/>
            <w:shd w:val="clear" w:color="C6EFCE" w:fill="C6EFCE"/>
            <w:noWrap/>
            <w:vAlign w:val="bottom"/>
            <w:hideMark/>
          </w:tcPr>
          <w:p w14:paraId="4BEE6C14" w14:textId="57EB6253" w:rsidR="00231783" w:rsidRPr="00231783" w:rsidRDefault="00231783" w:rsidP="00231783">
            <w:pPr>
              <w:spacing w:after="0" w:line="240" w:lineRule="auto"/>
              <w:jc w:val="right"/>
              <w:rPr>
                <w:rFonts w:ascii="Calibri" w:eastAsia="Times New Roman" w:hAnsi="Calibri" w:cs="Calibri"/>
                <w:b/>
                <w:bCs/>
                <w:color w:val="006100"/>
                <w:lang w:eastAsia="tr-TR"/>
              </w:rPr>
            </w:pPr>
            <w:r w:rsidRPr="00231783">
              <w:rPr>
                <w:rFonts w:ascii="Calibri" w:eastAsia="Times New Roman" w:hAnsi="Calibri" w:cs="Calibri"/>
                <w:b/>
                <w:bCs/>
                <w:color w:val="006100"/>
                <w:lang w:eastAsia="tr-TR"/>
              </w:rPr>
              <w:t>7,</w:t>
            </w:r>
            <w:r w:rsidR="00251D61">
              <w:rPr>
                <w:rFonts w:ascii="Calibri" w:eastAsia="Times New Roman" w:hAnsi="Calibri" w:cs="Calibri"/>
                <w:b/>
                <w:bCs/>
                <w:color w:val="006100"/>
                <w:lang w:eastAsia="tr-TR"/>
              </w:rPr>
              <w:t>75</w:t>
            </w:r>
            <w:r w:rsidRPr="00231783">
              <w:rPr>
                <w:rFonts w:ascii="Calibri" w:eastAsia="Times New Roman" w:hAnsi="Calibri" w:cs="Calibri"/>
                <w:b/>
                <w:bCs/>
                <w:color w:val="006100"/>
                <w:lang w:eastAsia="tr-TR"/>
              </w:rPr>
              <w:t>%</w:t>
            </w:r>
          </w:p>
        </w:tc>
      </w:tr>
    </w:tbl>
    <w:p w14:paraId="00C58AAD" w14:textId="77777777" w:rsidR="00A926EB" w:rsidRDefault="00A926EB" w:rsidP="002B6338">
      <w:pPr>
        <w:jc w:val="both"/>
        <w:rPr>
          <w:rFonts w:cstheme="minorHAnsi"/>
        </w:rPr>
      </w:pPr>
    </w:p>
    <w:p w14:paraId="3E07D118" w14:textId="3535BBD6" w:rsidR="00040373" w:rsidRPr="006506E1" w:rsidRDefault="00040373" w:rsidP="00040373">
      <w:pPr>
        <w:jc w:val="both"/>
        <w:rPr>
          <w:rFonts w:cstheme="minorHAnsi"/>
          <w:sz w:val="24"/>
          <w:szCs w:val="24"/>
        </w:rPr>
      </w:pPr>
      <w:r>
        <w:rPr>
          <w:rFonts w:cstheme="minorHAnsi"/>
          <w:sz w:val="24"/>
          <w:szCs w:val="24"/>
        </w:rPr>
        <w:t>Yukarıdaki</w:t>
      </w:r>
      <w:r w:rsidRPr="006506E1">
        <w:rPr>
          <w:rFonts w:cstheme="minorHAnsi"/>
          <w:sz w:val="24"/>
          <w:szCs w:val="24"/>
        </w:rPr>
        <w:t xml:space="preserve"> Tablo-1</w:t>
      </w:r>
      <w:r>
        <w:rPr>
          <w:rFonts w:cstheme="minorHAnsi"/>
          <w:sz w:val="24"/>
          <w:szCs w:val="24"/>
        </w:rPr>
        <w:t>4</w:t>
      </w:r>
      <w:r w:rsidRPr="006506E1">
        <w:rPr>
          <w:rFonts w:cstheme="minorHAnsi"/>
          <w:sz w:val="24"/>
          <w:szCs w:val="24"/>
        </w:rPr>
        <w:t>’e baktığımızda Konteynerde sadece Haziran ayında küçük oranlı (0,2) bir düşüş olurken</w:t>
      </w:r>
      <w:r>
        <w:rPr>
          <w:rFonts w:cstheme="minorHAnsi"/>
          <w:sz w:val="24"/>
          <w:szCs w:val="24"/>
        </w:rPr>
        <w:t>,</w:t>
      </w:r>
      <w:r w:rsidRPr="006506E1">
        <w:rPr>
          <w:rFonts w:cstheme="minorHAnsi"/>
          <w:sz w:val="24"/>
          <w:szCs w:val="24"/>
        </w:rPr>
        <w:t xml:space="preserve"> yılın kalan 11 ayında </w:t>
      </w:r>
      <w:r>
        <w:rPr>
          <w:rFonts w:cstheme="minorHAnsi"/>
          <w:sz w:val="24"/>
          <w:szCs w:val="24"/>
        </w:rPr>
        <w:t xml:space="preserve">ise olumlu bir </w:t>
      </w:r>
      <w:r w:rsidRPr="006506E1">
        <w:rPr>
          <w:rFonts w:cstheme="minorHAnsi"/>
          <w:sz w:val="24"/>
          <w:szCs w:val="24"/>
        </w:rPr>
        <w:t xml:space="preserve">büyüme gerçekleşmiştir. Bu büyümenin ana destekçisi ise yılın tüm aylarında büyüyen Transit konteyner </w:t>
      </w:r>
      <w:r>
        <w:rPr>
          <w:rFonts w:cstheme="minorHAnsi"/>
          <w:sz w:val="24"/>
          <w:szCs w:val="24"/>
        </w:rPr>
        <w:t xml:space="preserve">miktarları </w:t>
      </w:r>
      <w:r w:rsidRPr="006506E1">
        <w:rPr>
          <w:rFonts w:cstheme="minorHAnsi"/>
          <w:sz w:val="24"/>
          <w:szCs w:val="24"/>
        </w:rPr>
        <w:t xml:space="preserve">olmuştur. Transit </w:t>
      </w:r>
      <w:r w:rsidRPr="006506E1">
        <w:rPr>
          <w:rFonts w:cstheme="minorHAnsi"/>
          <w:sz w:val="24"/>
          <w:szCs w:val="24"/>
        </w:rPr>
        <w:lastRenderedPageBreak/>
        <w:t>konteynerde Şubat ayında %109 gibi çok büyük oranda bir artış da yaşanmıştır. Kabotajda sadece Ocak ayında küçük oranda bir düşüş (%0,2) yaşanırken</w:t>
      </w:r>
      <w:r>
        <w:rPr>
          <w:rFonts w:cstheme="minorHAnsi"/>
          <w:sz w:val="24"/>
          <w:szCs w:val="24"/>
        </w:rPr>
        <w:t>,</w:t>
      </w:r>
      <w:r w:rsidRPr="006506E1">
        <w:rPr>
          <w:rFonts w:cstheme="minorHAnsi"/>
          <w:sz w:val="24"/>
          <w:szCs w:val="24"/>
        </w:rPr>
        <w:t xml:space="preserve"> kalan 11 aylık dönemde </w:t>
      </w:r>
      <w:r>
        <w:rPr>
          <w:rFonts w:cstheme="minorHAnsi"/>
          <w:sz w:val="24"/>
          <w:szCs w:val="24"/>
        </w:rPr>
        <w:t xml:space="preserve">de olumlu bir </w:t>
      </w:r>
      <w:r w:rsidRPr="006506E1">
        <w:rPr>
          <w:rFonts w:cstheme="minorHAnsi"/>
          <w:sz w:val="24"/>
          <w:szCs w:val="24"/>
        </w:rPr>
        <w:t>büyüme meydana gelmiştir. İhracata konu konteynerin %1,58 oranda büyümeyle kapatmasında Şubat ve Kasım aylarında</w:t>
      </w:r>
      <w:r>
        <w:rPr>
          <w:rFonts w:cstheme="minorHAnsi"/>
          <w:sz w:val="24"/>
          <w:szCs w:val="24"/>
        </w:rPr>
        <w:t xml:space="preserve"> gerçekleşen </w:t>
      </w:r>
      <w:r w:rsidRPr="006506E1">
        <w:rPr>
          <w:rFonts w:cstheme="minorHAnsi"/>
          <w:sz w:val="24"/>
          <w:szCs w:val="24"/>
        </w:rPr>
        <w:t>yüksek oranlı büyümelerin etkisi varken,</w:t>
      </w:r>
      <w:r>
        <w:rPr>
          <w:rFonts w:cstheme="minorHAnsi"/>
          <w:sz w:val="24"/>
          <w:szCs w:val="24"/>
        </w:rPr>
        <w:t xml:space="preserve"> y</w:t>
      </w:r>
      <w:r w:rsidRPr="006506E1">
        <w:rPr>
          <w:rFonts w:cstheme="minorHAnsi"/>
          <w:sz w:val="24"/>
          <w:szCs w:val="24"/>
        </w:rPr>
        <w:t>ılın önemli bir bölümün</w:t>
      </w:r>
      <w:r>
        <w:rPr>
          <w:rFonts w:cstheme="minorHAnsi"/>
          <w:sz w:val="24"/>
          <w:szCs w:val="24"/>
        </w:rPr>
        <w:t xml:space="preserve">de düşen </w:t>
      </w:r>
      <w:r w:rsidRPr="006506E1">
        <w:rPr>
          <w:rFonts w:cstheme="minorHAnsi"/>
          <w:sz w:val="24"/>
          <w:szCs w:val="24"/>
        </w:rPr>
        <w:t>İthalata konu konteynerin yılın sonunda sadece %0,92 oranda büyümesi</w:t>
      </w:r>
      <w:r>
        <w:rPr>
          <w:rFonts w:cstheme="minorHAnsi"/>
          <w:sz w:val="24"/>
          <w:szCs w:val="24"/>
        </w:rPr>
        <w:t>nin nedeni</w:t>
      </w:r>
      <w:r w:rsidRPr="006506E1">
        <w:rPr>
          <w:rFonts w:cstheme="minorHAnsi"/>
          <w:sz w:val="24"/>
          <w:szCs w:val="24"/>
        </w:rPr>
        <w:t xml:space="preserve"> </w:t>
      </w:r>
      <w:r>
        <w:rPr>
          <w:rFonts w:cstheme="minorHAnsi"/>
          <w:sz w:val="24"/>
          <w:szCs w:val="24"/>
        </w:rPr>
        <w:t xml:space="preserve">ise </w:t>
      </w:r>
      <w:r w:rsidRPr="006506E1">
        <w:rPr>
          <w:rFonts w:cstheme="minorHAnsi"/>
          <w:sz w:val="24"/>
          <w:szCs w:val="24"/>
        </w:rPr>
        <w:t>Şubat ve Kasım ayındaki yüksek büyüme</w:t>
      </w:r>
      <w:r>
        <w:rPr>
          <w:rFonts w:cstheme="minorHAnsi"/>
          <w:sz w:val="24"/>
          <w:szCs w:val="24"/>
        </w:rPr>
        <w:t xml:space="preserve"> olmuştur. </w:t>
      </w:r>
      <w:r w:rsidRPr="006506E1">
        <w:rPr>
          <w:rFonts w:cstheme="minorHAnsi"/>
          <w:sz w:val="24"/>
          <w:szCs w:val="24"/>
        </w:rPr>
        <w:t xml:space="preserve">  </w:t>
      </w:r>
    </w:p>
    <w:p w14:paraId="5905E56E" w14:textId="2412920F" w:rsidR="009B46BA" w:rsidRPr="00927026" w:rsidRDefault="00927026" w:rsidP="002B6338">
      <w:pPr>
        <w:jc w:val="both"/>
        <w:rPr>
          <w:rFonts w:cstheme="minorHAnsi"/>
          <w:sz w:val="24"/>
          <w:szCs w:val="24"/>
        </w:rPr>
      </w:pPr>
      <w:r w:rsidRPr="006506E1">
        <w:rPr>
          <w:rFonts w:cstheme="minorHAnsi"/>
          <w:sz w:val="24"/>
          <w:szCs w:val="24"/>
        </w:rPr>
        <w:t xml:space="preserve">Küresel resesyonun etkileri </w:t>
      </w:r>
      <w:r>
        <w:rPr>
          <w:rFonts w:cstheme="minorHAnsi"/>
          <w:sz w:val="24"/>
          <w:szCs w:val="24"/>
        </w:rPr>
        <w:t xml:space="preserve">2024 yılında da </w:t>
      </w:r>
      <w:r w:rsidRPr="006506E1">
        <w:rPr>
          <w:rFonts w:cstheme="minorHAnsi"/>
          <w:sz w:val="24"/>
          <w:szCs w:val="24"/>
        </w:rPr>
        <w:t xml:space="preserve">devam ederken toplam yükten farklı olarak </w:t>
      </w:r>
      <w:r>
        <w:rPr>
          <w:rFonts w:cstheme="minorHAnsi"/>
          <w:sz w:val="24"/>
          <w:szCs w:val="24"/>
        </w:rPr>
        <w:t xml:space="preserve">konteynerde ağırlıkla </w:t>
      </w:r>
      <w:r w:rsidRPr="006506E1">
        <w:rPr>
          <w:rFonts w:cstheme="minorHAnsi"/>
          <w:sz w:val="24"/>
          <w:szCs w:val="24"/>
        </w:rPr>
        <w:t>Karadeniz</w:t>
      </w:r>
      <w:r>
        <w:rPr>
          <w:rFonts w:cstheme="minorHAnsi"/>
          <w:sz w:val="24"/>
          <w:szCs w:val="24"/>
        </w:rPr>
        <w:t xml:space="preserve"> kaynaklı </w:t>
      </w:r>
      <w:r w:rsidRPr="006506E1">
        <w:rPr>
          <w:rFonts w:cstheme="minorHAnsi"/>
          <w:sz w:val="24"/>
          <w:szCs w:val="24"/>
        </w:rPr>
        <w:t xml:space="preserve">transit konteyner elleçlemelerinin gelişmesine ilave </w:t>
      </w:r>
      <w:r>
        <w:rPr>
          <w:rFonts w:cstheme="minorHAnsi"/>
          <w:sz w:val="24"/>
          <w:szCs w:val="24"/>
        </w:rPr>
        <w:t xml:space="preserve">olarak </w:t>
      </w:r>
      <w:r w:rsidRPr="006506E1">
        <w:rPr>
          <w:rFonts w:cstheme="minorHAnsi"/>
          <w:sz w:val="24"/>
          <w:szCs w:val="24"/>
        </w:rPr>
        <w:t>ihracat</w:t>
      </w:r>
      <w:r>
        <w:rPr>
          <w:rFonts w:cstheme="minorHAnsi"/>
          <w:sz w:val="24"/>
          <w:szCs w:val="24"/>
        </w:rPr>
        <w:t xml:space="preserve">a konu </w:t>
      </w:r>
      <w:r w:rsidRPr="006506E1">
        <w:rPr>
          <w:rFonts w:cstheme="minorHAnsi"/>
          <w:sz w:val="24"/>
          <w:szCs w:val="24"/>
        </w:rPr>
        <w:t xml:space="preserve">konteynerdeki </w:t>
      </w:r>
      <w:r>
        <w:rPr>
          <w:rFonts w:cstheme="minorHAnsi"/>
          <w:sz w:val="24"/>
          <w:szCs w:val="24"/>
        </w:rPr>
        <w:t xml:space="preserve">artışlar yılın tamamında konteyner miktarlarını </w:t>
      </w:r>
      <w:r w:rsidRPr="006506E1">
        <w:rPr>
          <w:rFonts w:cstheme="minorHAnsi"/>
          <w:sz w:val="24"/>
          <w:szCs w:val="24"/>
        </w:rPr>
        <w:t>beklentileri</w:t>
      </w:r>
      <w:r>
        <w:rPr>
          <w:rFonts w:cstheme="minorHAnsi"/>
          <w:sz w:val="24"/>
          <w:szCs w:val="24"/>
        </w:rPr>
        <w:t xml:space="preserve">n üstüne </w:t>
      </w:r>
      <w:r w:rsidRPr="006506E1">
        <w:rPr>
          <w:rFonts w:cstheme="minorHAnsi"/>
          <w:sz w:val="24"/>
          <w:szCs w:val="24"/>
        </w:rPr>
        <w:t>taşımıştır.</w:t>
      </w:r>
    </w:p>
    <w:p w14:paraId="433D03FC" w14:textId="07AD221F" w:rsidR="00A926EB" w:rsidRPr="00BE7A9B" w:rsidRDefault="00A926EB" w:rsidP="00A926EB">
      <w:pPr>
        <w:pStyle w:val="ListeParagraf"/>
        <w:numPr>
          <w:ilvl w:val="1"/>
          <w:numId w:val="1"/>
        </w:numPr>
        <w:tabs>
          <w:tab w:val="left" w:pos="567"/>
        </w:tabs>
        <w:ind w:left="0" w:firstLine="0"/>
        <w:jc w:val="both"/>
        <w:rPr>
          <w:rFonts w:cstheme="minorHAnsi"/>
          <w:sz w:val="24"/>
          <w:szCs w:val="24"/>
        </w:rPr>
      </w:pPr>
      <w:r w:rsidRPr="00BE7A9B">
        <w:rPr>
          <w:rFonts w:cstheme="minorHAnsi"/>
          <w:b/>
          <w:bCs/>
          <w:sz w:val="24"/>
          <w:szCs w:val="24"/>
        </w:rPr>
        <w:t>TÜRKLİM’in Vizyon 2050 Tahmin Senaryolarına Göre Konteynerde Büyüme Beklentisi</w:t>
      </w:r>
    </w:p>
    <w:p w14:paraId="16CEC626" w14:textId="7382E3CE" w:rsidR="00A926EB" w:rsidRPr="006506E1" w:rsidRDefault="00A926EB" w:rsidP="00A926EB">
      <w:pPr>
        <w:jc w:val="both"/>
        <w:rPr>
          <w:rFonts w:cstheme="minorHAnsi"/>
          <w:sz w:val="24"/>
          <w:szCs w:val="24"/>
        </w:rPr>
      </w:pPr>
      <w:r w:rsidRPr="006506E1">
        <w:rPr>
          <w:rFonts w:cstheme="minorHAnsi"/>
          <w:sz w:val="24"/>
          <w:szCs w:val="24"/>
        </w:rPr>
        <w:t xml:space="preserve">TÜRKLİM tarafından her yıl yayınlanan Türkiye Limanları Sektör Raporu’nun 2022 yılındaki raporu içinde yer alan </w:t>
      </w:r>
      <w:r w:rsidRPr="00BE7A9B">
        <w:rPr>
          <w:rFonts w:cstheme="minorHAnsi"/>
          <w:b/>
          <w:bCs/>
          <w:sz w:val="24"/>
          <w:szCs w:val="24"/>
        </w:rPr>
        <w:t>“Vizyon 2050”</w:t>
      </w:r>
      <w:r w:rsidRPr="006506E1">
        <w:rPr>
          <w:rFonts w:cstheme="minorHAnsi"/>
          <w:sz w:val="24"/>
          <w:szCs w:val="24"/>
        </w:rPr>
        <w:t xml:space="preserve"> bölümündeki “</w:t>
      </w:r>
      <w:r w:rsidRPr="00BE7A9B">
        <w:rPr>
          <w:rFonts w:cstheme="minorHAnsi"/>
          <w:b/>
          <w:bCs/>
          <w:sz w:val="24"/>
          <w:szCs w:val="24"/>
        </w:rPr>
        <w:t>Türkiye Limanları için Talep Tahmini Çalışması”</w:t>
      </w:r>
      <w:r w:rsidRPr="006506E1">
        <w:rPr>
          <w:rFonts w:cstheme="minorHAnsi"/>
          <w:sz w:val="24"/>
          <w:szCs w:val="24"/>
        </w:rPr>
        <w:t xml:space="preserve"> hem toplam yükte ve hem de konteynerde 2050 yılına kadar olan yük tahmin senaryolarını ortaya koymuştur. Türkiye’de referans alınan TÜRKLİM’in bu çalışması bu alanda yapılmış tek çalışmadır. </w:t>
      </w:r>
    </w:p>
    <w:p w14:paraId="6FB80942" w14:textId="4B00A18A" w:rsidR="0063291A" w:rsidRPr="006506E1" w:rsidRDefault="0063291A" w:rsidP="00A926EB">
      <w:pPr>
        <w:jc w:val="both"/>
        <w:rPr>
          <w:rFonts w:cstheme="minorHAnsi"/>
          <w:sz w:val="24"/>
          <w:szCs w:val="24"/>
        </w:rPr>
      </w:pPr>
      <w:r w:rsidRPr="006506E1">
        <w:rPr>
          <w:rFonts w:cstheme="minorHAnsi"/>
          <w:sz w:val="24"/>
          <w:szCs w:val="24"/>
        </w:rPr>
        <w:t>Aşağıdaki Tablo-1</w:t>
      </w:r>
      <w:r w:rsidR="00BE7A9B">
        <w:rPr>
          <w:rFonts w:cstheme="minorHAnsi"/>
          <w:sz w:val="24"/>
          <w:szCs w:val="24"/>
        </w:rPr>
        <w:t>5</w:t>
      </w:r>
      <w:r w:rsidRPr="006506E1">
        <w:rPr>
          <w:rFonts w:cstheme="minorHAnsi"/>
          <w:sz w:val="24"/>
          <w:szCs w:val="24"/>
        </w:rPr>
        <w:t xml:space="preserve">’te 2023 ve 2024 yıllarında gerçekleşen konteyner miktarları TÜRKLİM’in </w:t>
      </w:r>
      <w:r w:rsidR="00170419">
        <w:rPr>
          <w:rFonts w:cstheme="minorHAnsi"/>
          <w:sz w:val="24"/>
          <w:szCs w:val="24"/>
        </w:rPr>
        <w:t>“</w:t>
      </w:r>
      <w:r w:rsidRPr="006506E1">
        <w:rPr>
          <w:rFonts w:cstheme="minorHAnsi"/>
          <w:sz w:val="24"/>
          <w:szCs w:val="24"/>
        </w:rPr>
        <w:t>Vizyon 2050</w:t>
      </w:r>
      <w:r w:rsidR="00170419">
        <w:rPr>
          <w:rFonts w:cstheme="minorHAnsi"/>
          <w:sz w:val="24"/>
          <w:szCs w:val="24"/>
        </w:rPr>
        <w:t>”</w:t>
      </w:r>
      <w:r w:rsidRPr="006506E1">
        <w:rPr>
          <w:rFonts w:cstheme="minorHAnsi"/>
          <w:sz w:val="24"/>
          <w:szCs w:val="24"/>
        </w:rPr>
        <w:t xml:space="preserve"> çalışmasına baz edilmesi için YEREL </w:t>
      </w:r>
      <w:r w:rsidR="00C24E5A" w:rsidRPr="006506E1">
        <w:rPr>
          <w:rFonts w:cstheme="minorHAnsi"/>
          <w:sz w:val="24"/>
          <w:szCs w:val="24"/>
        </w:rPr>
        <w:t xml:space="preserve">konteyner </w:t>
      </w:r>
      <w:r w:rsidRPr="006506E1">
        <w:rPr>
          <w:rFonts w:cstheme="minorHAnsi"/>
          <w:sz w:val="24"/>
          <w:szCs w:val="24"/>
        </w:rPr>
        <w:t>(İhracat</w:t>
      </w:r>
      <w:r w:rsidR="00C24E5A" w:rsidRPr="006506E1">
        <w:rPr>
          <w:rFonts w:cstheme="minorHAnsi"/>
          <w:sz w:val="24"/>
          <w:szCs w:val="24"/>
        </w:rPr>
        <w:t xml:space="preserve">, İthalat ve Kabotaj) ile TRANSİT konteyner olarak gruplandırılması </w:t>
      </w:r>
      <w:r w:rsidR="00170419">
        <w:rPr>
          <w:rFonts w:cstheme="minorHAnsi"/>
          <w:sz w:val="24"/>
          <w:szCs w:val="24"/>
        </w:rPr>
        <w:t xml:space="preserve">ve miktarları </w:t>
      </w:r>
      <w:r w:rsidR="00C24E5A" w:rsidRPr="006506E1">
        <w:rPr>
          <w:rFonts w:cstheme="minorHAnsi"/>
          <w:sz w:val="24"/>
          <w:szCs w:val="24"/>
        </w:rPr>
        <w:t xml:space="preserve">görülmektedir. TÜRKLİM çalışması 2050 yılına kadar toplam konteyner miktarı tahminlerini Yerel ve Transit konteyner </w:t>
      </w:r>
      <w:r w:rsidR="004F6BAA" w:rsidRPr="006506E1">
        <w:rPr>
          <w:rFonts w:cstheme="minorHAnsi"/>
          <w:sz w:val="24"/>
          <w:szCs w:val="24"/>
        </w:rPr>
        <w:t xml:space="preserve">miktarları olarak ayrı ayrı yapmıştır. </w:t>
      </w:r>
    </w:p>
    <w:p w14:paraId="05564D1D" w14:textId="2DA46D1C" w:rsidR="0063291A" w:rsidRPr="00BE7A9B" w:rsidRDefault="0063291A" w:rsidP="0063291A">
      <w:pPr>
        <w:jc w:val="center"/>
        <w:rPr>
          <w:rFonts w:cstheme="minorHAnsi"/>
          <w:b/>
          <w:bCs/>
          <w:sz w:val="22"/>
          <w:szCs w:val="22"/>
        </w:rPr>
      </w:pPr>
      <w:r w:rsidRPr="00BE7A9B">
        <w:rPr>
          <w:rFonts w:cstheme="minorHAnsi"/>
          <w:b/>
          <w:bCs/>
          <w:sz w:val="22"/>
          <w:szCs w:val="22"/>
          <w:u w:val="single"/>
        </w:rPr>
        <w:t>Tablo-</w:t>
      </w:r>
      <w:r w:rsidR="004F6BAA" w:rsidRPr="00BE7A9B">
        <w:rPr>
          <w:rFonts w:cstheme="minorHAnsi"/>
          <w:b/>
          <w:bCs/>
          <w:sz w:val="22"/>
          <w:szCs w:val="22"/>
          <w:u w:val="single"/>
        </w:rPr>
        <w:t>1</w:t>
      </w:r>
      <w:r w:rsidR="00BE7A9B" w:rsidRPr="00BE7A9B">
        <w:rPr>
          <w:rFonts w:cstheme="minorHAnsi"/>
          <w:b/>
          <w:bCs/>
          <w:sz w:val="22"/>
          <w:szCs w:val="22"/>
          <w:u w:val="single"/>
        </w:rPr>
        <w:t>5</w:t>
      </w:r>
      <w:r w:rsidRPr="00BE7A9B">
        <w:rPr>
          <w:rFonts w:cstheme="minorHAnsi"/>
          <w:b/>
          <w:bCs/>
          <w:sz w:val="22"/>
          <w:szCs w:val="22"/>
          <w:u w:val="single"/>
        </w:rPr>
        <w:t>:</w:t>
      </w:r>
      <w:r w:rsidRPr="00BE7A9B">
        <w:rPr>
          <w:rFonts w:cstheme="minorHAnsi"/>
          <w:sz w:val="22"/>
          <w:szCs w:val="22"/>
        </w:rPr>
        <w:t xml:space="preserve"> </w:t>
      </w:r>
      <w:r w:rsidRPr="00BE7A9B">
        <w:rPr>
          <w:rFonts w:cstheme="minorHAnsi"/>
          <w:b/>
          <w:bCs/>
          <w:sz w:val="22"/>
          <w:szCs w:val="22"/>
        </w:rPr>
        <w:t>TÜRKLİM “Vizyon 2050” Raporu Toplam Yük Tahmin Senaryoları (2025-2050)</w:t>
      </w:r>
    </w:p>
    <w:tbl>
      <w:tblPr>
        <w:tblStyle w:val="TabloKlavuzu"/>
        <w:tblW w:w="7237" w:type="dxa"/>
        <w:jc w:val="center"/>
        <w:tblLook w:val="04A0" w:firstRow="1" w:lastRow="0" w:firstColumn="1" w:lastColumn="0" w:noHBand="0" w:noVBand="1"/>
      </w:tblPr>
      <w:tblGrid>
        <w:gridCol w:w="3406"/>
        <w:gridCol w:w="1416"/>
        <w:gridCol w:w="1417"/>
        <w:gridCol w:w="998"/>
      </w:tblGrid>
      <w:tr w:rsidR="00FB1402" w:rsidRPr="00A24490" w14:paraId="5CCA49BE" w14:textId="77777777" w:rsidTr="00960FF1">
        <w:trPr>
          <w:jc w:val="center"/>
        </w:trPr>
        <w:tc>
          <w:tcPr>
            <w:tcW w:w="3406" w:type="dxa"/>
            <w:shd w:val="clear" w:color="auto" w:fill="FFFF00"/>
          </w:tcPr>
          <w:p w14:paraId="41D17ACD" w14:textId="77777777" w:rsidR="00FB1402" w:rsidRPr="00A24490" w:rsidRDefault="00FB1402" w:rsidP="00FB1402">
            <w:pPr>
              <w:jc w:val="center"/>
              <w:rPr>
                <w:rFonts w:cstheme="minorHAnsi"/>
                <w:b/>
                <w:bCs/>
              </w:rPr>
            </w:pPr>
          </w:p>
          <w:p w14:paraId="13959F09" w14:textId="58514BB0" w:rsidR="00FB1402" w:rsidRPr="00A24490" w:rsidRDefault="00FB1402" w:rsidP="00FB1402">
            <w:pPr>
              <w:jc w:val="center"/>
              <w:rPr>
                <w:rFonts w:cstheme="minorHAnsi"/>
                <w:b/>
                <w:bCs/>
              </w:rPr>
            </w:pPr>
            <w:r w:rsidRPr="00A24490">
              <w:rPr>
                <w:rFonts w:cstheme="minorHAnsi"/>
                <w:b/>
                <w:bCs/>
              </w:rPr>
              <w:t>Konteyner Tipi</w:t>
            </w:r>
          </w:p>
        </w:tc>
        <w:tc>
          <w:tcPr>
            <w:tcW w:w="1416" w:type="dxa"/>
            <w:shd w:val="clear" w:color="auto" w:fill="FFFF00"/>
          </w:tcPr>
          <w:p w14:paraId="6ABEF052" w14:textId="77087D55" w:rsidR="00FB1402" w:rsidRPr="00A24490" w:rsidRDefault="00FB1402" w:rsidP="00FB1402">
            <w:pPr>
              <w:jc w:val="center"/>
              <w:rPr>
                <w:rFonts w:cstheme="minorHAnsi"/>
                <w:b/>
                <w:bCs/>
              </w:rPr>
            </w:pPr>
            <w:r w:rsidRPr="00A24490">
              <w:rPr>
                <w:rFonts w:cstheme="minorHAnsi"/>
                <w:b/>
                <w:bCs/>
              </w:rPr>
              <w:t>202</w:t>
            </w:r>
            <w:r>
              <w:rPr>
                <w:rFonts w:cstheme="minorHAnsi"/>
                <w:b/>
                <w:bCs/>
              </w:rPr>
              <w:t>3</w:t>
            </w:r>
            <w:r w:rsidRPr="00A24490">
              <w:rPr>
                <w:rFonts w:cstheme="minorHAnsi"/>
                <w:b/>
                <w:bCs/>
              </w:rPr>
              <w:t xml:space="preserve"> yılı</w:t>
            </w:r>
          </w:p>
          <w:p w14:paraId="7F164AF7" w14:textId="3A167CFD" w:rsidR="00FB1402" w:rsidRPr="00A24490" w:rsidRDefault="00FB1402" w:rsidP="00FB1402">
            <w:pPr>
              <w:jc w:val="center"/>
              <w:rPr>
                <w:rFonts w:cstheme="minorHAnsi"/>
                <w:b/>
                <w:bCs/>
              </w:rPr>
            </w:pPr>
            <w:r w:rsidRPr="00A24490">
              <w:rPr>
                <w:rFonts w:cstheme="minorHAnsi"/>
                <w:b/>
                <w:bCs/>
              </w:rPr>
              <w:t>Konteyner Miktarı (TEU)</w:t>
            </w:r>
          </w:p>
        </w:tc>
        <w:tc>
          <w:tcPr>
            <w:tcW w:w="1417" w:type="dxa"/>
            <w:shd w:val="clear" w:color="auto" w:fill="FFFF00"/>
          </w:tcPr>
          <w:p w14:paraId="422C6900" w14:textId="77777777" w:rsidR="00FB1402" w:rsidRPr="00A24490" w:rsidRDefault="00FB1402" w:rsidP="00FB1402">
            <w:pPr>
              <w:jc w:val="center"/>
              <w:rPr>
                <w:rFonts w:cstheme="minorHAnsi"/>
                <w:b/>
                <w:bCs/>
              </w:rPr>
            </w:pPr>
            <w:r w:rsidRPr="00A24490">
              <w:rPr>
                <w:rFonts w:cstheme="minorHAnsi"/>
                <w:b/>
                <w:bCs/>
              </w:rPr>
              <w:t>2024 yılı</w:t>
            </w:r>
          </w:p>
          <w:p w14:paraId="6C184E2B" w14:textId="3CC501D6" w:rsidR="00FB1402" w:rsidRPr="00A24490" w:rsidRDefault="00FB1402" w:rsidP="00FB1402">
            <w:pPr>
              <w:jc w:val="center"/>
              <w:rPr>
                <w:rFonts w:cstheme="minorHAnsi"/>
                <w:b/>
                <w:bCs/>
              </w:rPr>
            </w:pPr>
            <w:r w:rsidRPr="00A24490">
              <w:rPr>
                <w:rFonts w:cstheme="minorHAnsi"/>
                <w:b/>
                <w:bCs/>
              </w:rPr>
              <w:t>Konteyner Miktarı (TEU)</w:t>
            </w:r>
          </w:p>
        </w:tc>
        <w:tc>
          <w:tcPr>
            <w:tcW w:w="998" w:type="dxa"/>
            <w:shd w:val="clear" w:color="auto" w:fill="FFFF00"/>
          </w:tcPr>
          <w:p w14:paraId="5D93A586" w14:textId="77777777" w:rsidR="003B070E" w:rsidRDefault="003B070E" w:rsidP="00FB1402">
            <w:pPr>
              <w:jc w:val="center"/>
              <w:rPr>
                <w:rFonts w:cstheme="minorHAnsi"/>
                <w:b/>
                <w:bCs/>
              </w:rPr>
            </w:pPr>
          </w:p>
          <w:p w14:paraId="1546EBA1" w14:textId="46379673" w:rsidR="00FB1402" w:rsidRPr="00A24490" w:rsidRDefault="003B070E" w:rsidP="00FB1402">
            <w:pPr>
              <w:jc w:val="center"/>
              <w:rPr>
                <w:rFonts w:cstheme="minorHAnsi"/>
                <w:b/>
                <w:bCs/>
              </w:rPr>
            </w:pPr>
            <w:r>
              <w:rPr>
                <w:rFonts w:cstheme="minorHAnsi"/>
                <w:b/>
                <w:bCs/>
              </w:rPr>
              <w:t>Büyüme Oranı</w:t>
            </w:r>
          </w:p>
        </w:tc>
      </w:tr>
      <w:tr w:rsidR="00251D61" w14:paraId="164BFB3C" w14:textId="77777777" w:rsidTr="00960FF1">
        <w:trPr>
          <w:jc w:val="center"/>
        </w:trPr>
        <w:tc>
          <w:tcPr>
            <w:tcW w:w="3406" w:type="dxa"/>
          </w:tcPr>
          <w:p w14:paraId="577BD816" w14:textId="1DC5FC79" w:rsidR="00251D61" w:rsidRPr="00960FF1" w:rsidRDefault="00251D61" w:rsidP="00251D61">
            <w:pPr>
              <w:jc w:val="both"/>
              <w:rPr>
                <w:rFonts w:cstheme="minorHAnsi"/>
                <w:b/>
                <w:bCs/>
                <w:sz w:val="22"/>
                <w:szCs w:val="22"/>
              </w:rPr>
            </w:pPr>
            <w:r w:rsidRPr="00960FF1">
              <w:rPr>
                <w:rFonts w:cstheme="minorHAnsi"/>
                <w:b/>
                <w:bCs/>
                <w:sz w:val="22"/>
                <w:szCs w:val="22"/>
              </w:rPr>
              <w:t>Yerel (İhracat+İthalat+Kabotaj)</w:t>
            </w:r>
          </w:p>
        </w:tc>
        <w:tc>
          <w:tcPr>
            <w:tcW w:w="1416" w:type="dxa"/>
          </w:tcPr>
          <w:p w14:paraId="1E257011" w14:textId="731EF389" w:rsidR="00251D61" w:rsidRPr="007114D8" w:rsidRDefault="00251D61" w:rsidP="00251D61">
            <w:pPr>
              <w:jc w:val="right"/>
              <w:rPr>
                <w:rFonts w:cstheme="minorHAnsi"/>
                <w:sz w:val="22"/>
                <w:szCs w:val="22"/>
              </w:rPr>
            </w:pPr>
            <w:r w:rsidRPr="007114D8">
              <w:rPr>
                <w:rFonts w:cstheme="minorHAnsi"/>
                <w:sz w:val="22"/>
                <w:szCs w:val="22"/>
              </w:rPr>
              <w:t>10.500.966</w:t>
            </w:r>
          </w:p>
        </w:tc>
        <w:tc>
          <w:tcPr>
            <w:tcW w:w="1417" w:type="dxa"/>
            <w:vAlign w:val="bottom"/>
          </w:tcPr>
          <w:p w14:paraId="0A5FE974" w14:textId="6CE44A9A" w:rsidR="00251D61" w:rsidRPr="007114D8" w:rsidRDefault="00251D61" w:rsidP="00251D61">
            <w:pPr>
              <w:jc w:val="right"/>
              <w:rPr>
                <w:rFonts w:cstheme="minorHAnsi"/>
                <w:sz w:val="22"/>
                <w:szCs w:val="22"/>
              </w:rPr>
            </w:pPr>
            <w:r w:rsidRPr="007114D8">
              <w:rPr>
                <w:rFonts w:cs="Arial"/>
                <w:color w:val="000000"/>
                <w:sz w:val="22"/>
                <w:szCs w:val="22"/>
              </w:rPr>
              <w:t>10.766.361</w:t>
            </w:r>
          </w:p>
        </w:tc>
        <w:tc>
          <w:tcPr>
            <w:tcW w:w="998" w:type="dxa"/>
            <w:tcBorders>
              <w:top w:val="nil"/>
              <w:left w:val="nil"/>
              <w:bottom w:val="single" w:sz="8" w:space="0" w:color="auto"/>
              <w:right w:val="single" w:sz="8" w:space="0" w:color="auto"/>
            </w:tcBorders>
            <w:shd w:val="clear" w:color="auto" w:fill="auto"/>
            <w:vAlign w:val="center"/>
          </w:tcPr>
          <w:p w14:paraId="1D490B87" w14:textId="37A03E80" w:rsidR="00251D61" w:rsidRPr="007114D8" w:rsidRDefault="00251D61" w:rsidP="00251D61">
            <w:pPr>
              <w:jc w:val="right"/>
              <w:rPr>
                <w:rFonts w:cstheme="minorHAnsi"/>
                <w:sz w:val="22"/>
                <w:szCs w:val="22"/>
              </w:rPr>
            </w:pPr>
            <w:r>
              <w:rPr>
                <w:rFonts w:ascii="Aptos" w:hAnsi="Aptos" w:cstheme="minorHAnsi"/>
                <w:color w:val="000000"/>
                <w:sz w:val="22"/>
                <w:szCs w:val="22"/>
              </w:rPr>
              <w:t>2,53%</w:t>
            </w:r>
          </w:p>
        </w:tc>
      </w:tr>
      <w:tr w:rsidR="00251D61" w14:paraId="3A94592A" w14:textId="77777777" w:rsidTr="00960FF1">
        <w:trPr>
          <w:jc w:val="center"/>
        </w:trPr>
        <w:tc>
          <w:tcPr>
            <w:tcW w:w="3406" w:type="dxa"/>
          </w:tcPr>
          <w:p w14:paraId="7BF1E151" w14:textId="29D121D8" w:rsidR="00251D61" w:rsidRPr="00960FF1" w:rsidRDefault="00251D61" w:rsidP="00251D61">
            <w:pPr>
              <w:jc w:val="both"/>
              <w:rPr>
                <w:rFonts w:cstheme="minorHAnsi"/>
                <w:b/>
                <w:bCs/>
                <w:sz w:val="22"/>
                <w:szCs w:val="22"/>
              </w:rPr>
            </w:pPr>
            <w:r w:rsidRPr="00960FF1">
              <w:rPr>
                <w:rFonts w:cstheme="minorHAnsi"/>
                <w:b/>
                <w:bCs/>
                <w:sz w:val="22"/>
                <w:szCs w:val="22"/>
              </w:rPr>
              <w:t xml:space="preserve">Transit </w:t>
            </w:r>
          </w:p>
        </w:tc>
        <w:tc>
          <w:tcPr>
            <w:tcW w:w="1416" w:type="dxa"/>
          </w:tcPr>
          <w:p w14:paraId="73651C4D" w14:textId="7446F7ED" w:rsidR="00251D61" w:rsidRPr="007114D8" w:rsidRDefault="00251D61" w:rsidP="00251D61">
            <w:pPr>
              <w:jc w:val="right"/>
              <w:rPr>
                <w:rFonts w:cs="Calibri"/>
                <w:color w:val="000000"/>
                <w:sz w:val="22"/>
                <w:szCs w:val="22"/>
              </w:rPr>
            </w:pPr>
            <w:r w:rsidRPr="007114D8">
              <w:rPr>
                <w:rFonts w:cs="Calibri"/>
                <w:color w:val="000000"/>
                <w:sz w:val="22"/>
                <w:szCs w:val="22"/>
              </w:rPr>
              <w:t>2.055.441</w:t>
            </w:r>
          </w:p>
        </w:tc>
        <w:tc>
          <w:tcPr>
            <w:tcW w:w="1417" w:type="dxa"/>
            <w:vAlign w:val="bottom"/>
          </w:tcPr>
          <w:p w14:paraId="206EC568" w14:textId="0D0EEA50" w:rsidR="00251D61" w:rsidRPr="007114D8" w:rsidRDefault="00251D61" w:rsidP="00251D61">
            <w:pPr>
              <w:jc w:val="right"/>
              <w:rPr>
                <w:rFonts w:cstheme="minorHAnsi"/>
                <w:sz w:val="22"/>
                <w:szCs w:val="22"/>
              </w:rPr>
            </w:pPr>
            <w:r w:rsidRPr="007114D8">
              <w:rPr>
                <w:rFonts w:cs="Arial"/>
                <w:color w:val="000000"/>
                <w:sz w:val="22"/>
                <w:szCs w:val="22"/>
              </w:rPr>
              <w:t>2.763.368</w:t>
            </w:r>
          </w:p>
        </w:tc>
        <w:tc>
          <w:tcPr>
            <w:tcW w:w="998" w:type="dxa"/>
            <w:tcBorders>
              <w:top w:val="nil"/>
              <w:left w:val="nil"/>
              <w:bottom w:val="single" w:sz="8" w:space="0" w:color="auto"/>
              <w:right w:val="single" w:sz="8" w:space="0" w:color="auto"/>
            </w:tcBorders>
            <w:shd w:val="clear" w:color="auto" w:fill="auto"/>
            <w:vAlign w:val="center"/>
          </w:tcPr>
          <w:p w14:paraId="08FBAFCF" w14:textId="198A8AD2" w:rsidR="00251D61" w:rsidRPr="007114D8" w:rsidRDefault="00251D61" w:rsidP="00251D61">
            <w:pPr>
              <w:jc w:val="right"/>
              <w:rPr>
                <w:rFonts w:cstheme="minorHAnsi"/>
                <w:sz w:val="22"/>
                <w:szCs w:val="22"/>
              </w:rPr>
            </w:pPr>
            <w:r>
              <w:rPr>
                <w:rFonts w:ascii="Aptos" w:hAnsi="Aptos" w:cstheme="minorHAnsi"/>
                <w:color w:val="000000"/>
                <w:sz w:val="22"/>
                <w:szCs w:val="22"/>
              </w:rPr>
              <w:t>34,44%</w:t>
            </w:r>
          </w:p>
        </w:tc>
      </w:tr>
      <w:tr w:rsidR="00251D61" w14:paraId="44B61B53" w14:textId="77777777" w:rsidTr="00960FF1">
        <w:trPr>
          <w:jc w:val="center"/>
        </w:trPr>
        <w:tc>
          <w:tcPr>
            <w:tcW w:w="3406" w:type="dxa"/>
          </w:tcPr>
          <w:p w14:paraId="682D663D" w14:textId="5C85F55F" w:rsidR="00251D61" w:rsidRPr="00960FF1" w:rsidRDefault="00251D61" w:rsidP="00251D61">
            <w:pPr>
              <w:jc w:val="both"/>
              <w:rPr>
                <w:rFonts w:cstheme="minorHAnsi"/>
                <w:b/>
                <w:bCs/>
                <w:sz w:val="22"/>
                <w:szCs w:val="22"/>
              </w:rPr>
            </w:pPr>
            <w:r w:rsidRPr="00960FF1">
              <w:rPr>
                <w:rFonts w:cstheme="minorHAnsi"/>
                <w:b/>
                <w:bCs/>
                <w:sz w:val="22"/>
                <w:szCs w:val="22"/>
              </w:rPr>
              <w:t>Toplam</w:t>
            </w:r>
          </w:p>
        </w:tc>
        <w:tc>
          <w:tcPr>
            <w:tcW w:w="1416" w:type="dxa"/>
          </w:tcPr>
          <w:p w14:paraId="2371427B" w14:textId="39B0F0B3" w:rsidR="00251D61" w:rsidRPr="00BF7B75" w:rsidRDefault="00251D61" w:rsidP="00251D61">
            <w:pPr>
              <w:jc w:val="right"/>
              <w:rPr>
                <w:rFonts w:cstheme="minorHAnsi"/>
                <w:b/>
                <w:bCs/>
                <w:sz w:val="22"/>
                <w:szCs w:val="22"/>
              </w:rPr>
            </w:pPr>
            <w:r w:rsidRPr="00BF7B75">
              <w:rPr>
                <w:rFonts w:cstheme="minorHAnsi"/>
                <w:b/>
                <w:bCs/>
                <w:sz w:val="22"/>
                <w:szCs w:val="22"/>
              </w:rPr>
              <w:t>12.556.407</w:t>
            </w:r>
          </w:p>
        </w:tc>
        <w:tc>
          <w:tcPr>
            <w:tcW w:w="1417" w:type="dxa"/>
            <w:vAlign w:val="bottom"/>
          </w:tcPr>
          <w:p w14:paraId="28E8DE60" w14:textId="103FB5FD" w:rsidR="00251D61" w:rsidRPr="00BF7B75" w:rsidRDefault="00251D61" w:rsidP="00251D61">
            <w:pPr>
              <w:jc w:val="right"/>
              <w:rPr>
                <w:rFonts w:cstheme="minorHAnsi"/>
                <w:b/>
                <w:bCs/>
                <w:sz w:val="22"/>
                <w:szCs w:val="22"/>
              </w:rPr>
            </w:pPr>
            <w:r w:rsidRPr="00BF7B75">
              <w:rPr>
                <w:rFonts w:cs="Arial"/>
                <w:b/>
                <w:bCs/>
                <w:color w:val="000000"/>
                <w:sz w:val="22"/>
                <w:szCs w:val="22"/>
              </w:rPr>
              <w:t>13.529.729</w:t>
            </w:r>
          </w:p>
        </w:tc>
        <w:tc>
          <w:tcPr>
            <w:tcW w:w="998" w:type="dxa"/>
            <w:tcBorders>
              <w:top w:val="nil"/>
              <w:left w:val="nil"/>
              <w:bottom w:val="single" w:sz="8" w:space="0" w:color="auto"/>
              <w:right w:val="single" w:sz="8" w:space="0" w:color="auto"/>
            </w:tcBorders>
            <w:shd w:val="clear" w:color="auto" w:fill="auto"/>
            <w:vAlign w:val="center"/>
          </w:tcPr>
          <w:p w14:paraId="4B10205B" w14:textId="72FC575A" w:rsidR="00251D61" w:rsidRPr="00BF7B75" w:rsidRDefault="00251D61" w:rsidP="00251D61">
            <w:pPr>
              <w:jc w:val="right"/>
              <w:rPr>
                <w:rFonts w:cstheme="minorHAnsi"/>
                <w:b/>
                <w:bCs/>
                <w:sz w:val="22"/>
                <w:szCs w:val="22"/>
              </w:rPr>
            </w:pPr>
            <w:r w:rsidRPr="00BF7B75">
              <w:rPr>
                <w:rFonts w:ascii="Aptos" w:hAnsi="Aptos" w:cstheme="minorHAnsi"/>
                <w:b/>
                <w:bCs/>
                <w:color w:val="000000"/>
                <w:sz w:val="22"/>
                <w:szCs w:val="22"/>
              </w:rPr>
              <w:t>7,75%</w:t>
            </w:r>
          </w:p>
        </w:tc>
      </w:tr>
    </w:tbl>
    <w:p w14:paraId="7D641A7D" w14:textId="77777777" w:rsidR="00696FCA" w:rsidRDefault="00696FCA" w:rsidP="00A926EB">
      <w:pPr>
        <w:jc w:val="both"/>
        <w:rPr>
          <w:rFonts w:cstheme="minorHAnsi"/>
        </w:rPr>
      </w:pPr>
    </w:p>
    <w:p w14:paraId="6E17BC42" w14:textId="2E669579" w:rsidR="00696FCA" w:rsidRPr="006506E1" w:rsidRDefault="004F6BAA" w:rsidP="00A926EB">
      <w:pPr>
        <w:jc w:val="both"/>
        <w:rPr>
          <w:rFonts w:cstheme="minorHAnsi"/>
          <w:sz w:val="24"/>
          <w:szCs w:val="24"/>
        </w:rPr>
      </w:pPr>
      <w:r w:rsidRPr="006506E1">
        <w:rPr>
          <w:rFonts w:cstheme="minorHAnsi"/>
          <w:sz w:val="24"/>
          <w:szCs w:val="24"/>
        </w:rPr>
        <w:t xml:space="preserve">TÜRKLİM’in yayınladığı “Vizyon 2050” </w:t>
      </w:r>
      <w:r w:rsidR="0063291A" w:rsidRPr="006506E1">
        <w:rPr>
          <w:rFonts w:cstheme="minorHAnsi"/>
          <w:sz w:val="24"/>
          <w:szCs w:val="24"/>
        </w:rPr>
        <w:t xml:space="preserve">tahmin çalışmalarının </w:t>
      </w:r>
      <w:r w:rsidRPr="006506E1">
        <w:rPr>
          <w:rFonts w:cstheme="minorHAnsi"/>
          <w:sz w:val="24"/>
          <w:szCs w:val="24"/>
        </w:rPr>
        <w:t xml:space="preserve">Konteyner </w:t>
      </w:r>
      <w:r w:rsidR="0063291A" w:rsidRPr="006506E1">
        <w:rPr>
          <w:rFonts w:cstheme="minorHAnsi"/>
          <w:sz w:val="24"/>
          <w:szCs w:val="24"/>
        </w:rPr>
        <w:t xml:space="preserve">için olan </w:t>
      </w:r>
      <w:r w:rsidR="00170419">
        <w:rPr>
          <w:rFonts w:cstheme="minorHAnsi"/>
          <w:sz w:val="24"/>
          <w:szCs w:val="24"/>
        </w:rPr>
        <w:t xml:space="preserve">senaryoları </w:t>
      </w:r>
      <w:r w:rsidR="0063291A" w:rsidRPr="006506E1">
        <w:rPr>
          <w:rFonts w:cstheme="minorHAnsi"/>
          <w:sz w:val="24"/>
          <w:szCs w:val="24"/>
        </w:rPr>
        <w:t>aşağıda Tablo-</w:t>
      </w:r>
      <w:r w:rsidRPr="006506E1">
        <w:rPr>
          <w:rFonts w:cstheme="minorHAnsi"/>
          <w:sz w:val="24"/>
          <w:szCs w:val="24"/>
        </w:rPr>
        <w:t>1</w:t>
      </w:r>
      <w:r w:rsidR="00170419">
        <w:rPr>
          <w:rFonts w:cstheme="minorHAnsi"/>
          <w:sz w:val="24"/>
          <w:szCs w:val="24"/>
        </w:rPr>
        <w:t>6</w:t>
      </w:r>
      <w:r w:rsidR="0063291A" w:rsidRPr="006506E1">
        <w:rPr>
          <w:rFonts w:cstheme="minorHAnsi"/>
          <w:sz w:val="24"/>
          <w:szCs w:val="24"/>
        </w:rPr>
        <w:t>’</w:t>
      </w:r>
      <w:r w:rsidR="00170419">
        <w:rPr>
          <w:rFonts w:cstheme="minorHAnsi"/>
          <w:sz w:val="24"/>
          <w:szCs w:val="24"/>
        </w:rPr>
        <w:t>da</w:t>
      </w:r>
      <w:r w:rsidR="0063291A" w:rsidRPr="006506E1">
        <w:rPr>
          <w:rFonts w:cstheme="minorHAnsi"/>
          <w:sz w:val="24"/>
          <w:szCs w:val="24"/>
        </w:rPr>
        <w:t xml:space="preserve"> yer almaktadır. Bu tahmin çalışması içinde yer alan verilerden </w:t>
      </w:r>
      <w:r w:rsidR="0063291A" w:rsidRPr="008B4005">
        <w:rPr>
          <w:rFonts w:cstheme="minorHAnsi"/>
          <w:b/>
          <w:bCs/>
          <w:sz w:val="24"/>
          <w:szCs w:val="24"/>
        </w:rPr>
        <w:t>“Referans”</w:t>
      </w:r>
      <w:r w:rsidR="0063291A" w:rsidRPr="006506E1">
        <w:rPr>
          <w:rFonts w:cstheme="minorHAnsi"/>
          <w:sz w:val="24"/>
          <w:szCs w:val="24"/>
        </w:rPr>
        <w:t xml:space="preserve"> senaryo verileri esas olarak limancılık sektörünün tahmin çalışmasına temel alınmaktadır.</w:t>
      </w:r>
    </w:p>
    <w:p w14:paraId="199B9A13" w14:textId="77777777" w:rsidR="00040373" w:rsidRDefault="00040373" w:rsidP="00A926EB">
      <w:pPr>
        <w:jc w:val="center"/>
        <w:rPr>
          <w:rFonts w:cstheme="minorHAnsi"/>
          <w:b/>
          <w:bCs/>
          <w:sz w:val="22"/>
          <w:szCs w:val="22"/>
          <w:u w:val="single"/>
        </w:rPr>
      </w:pPr>
    </w:p>
    <w:p w14:paraId="2304E2C7" w14:textId="77777777" w:rsidR="00040373" w:rsidRDefault="00040373" w:rsidP="00A926EB">
      <w:pPr>
        <w:jc w:val="center"/>
        <w:rPr>
          <w:rFonts w:cstheme="minorHAnsi"/>
          <w:b/>
          <w:bCs/>
          <w:sz w:val="22"/>
          <w:szCs w:val="22"/>
          <w:u w:val="single"/>
        </w:rPr>
      </w:pPr>
    </w:p>
    <w:p w14:paraId="15944CFD" w14:textId="01728FD7" w:rsidR="00A926EB" w:rsidRPr="00170419" w:rsidRDefault="00A926EB" w:rsidP="00A926EB">
      <w:pPr>
        <w:jc w:val="center"/>
        <w:rPr>
          <w:rFonts w:cstheme="minorHAnsi"/>
          <w:b/>
          <w:bCs/>
          <w:sz w:val="22"/>
          <w:szCs w:val="22"/>
        </w:rPr>
      </w:pPr>
      <w:r w:rsidRPr="00170419">
        <w:rPr>
          <w:rFonts w:cstheme="minorHAnsi"/>
          <w:b/>
          <w:bCs/>
          <w:sz w:val="22"/>
          <w:szCs w:val="22"/>
          <w:u w:val="single"/>
        </w:rPr>
        <w:lastRenderedPageBreak/>
        <w:t>Tablo-</w:t>
      </w:r>
      <w:r w:rsidR="004F6BAA" w:rsidRPr="00170419">
        <w:rPr>
          <w:rFonts w:cstheme="minorHAnsi"/>
          <w:b/>
          <w:bCs/>
          <w:sz w:val="22"/>
          <w:szCs w:val="22"/>
          <w:u w:val="single"/>
        </w:rPr>
        <w:t>1</w:t>
      </w:r>
      <w:r w:rsidR="00170419">
        <w:rPr>
          <w:rFonts w:cstheme="minorHAnsi"/>
          <w:b/>
          <w:bCs/>
          <w:sz w:val="22"/>
          <w:szCs w:val="22"/>
          <w:u w:val="single"/>
        </w:rPr>
        <w:t>6</w:t>
      </w:r>
      <w:r w:rsidRPr="00170419">
        <w:rPr>
          <w:rFonts w:cstheme="minorHAnsi"/>
          <w:b/>
          <w:bCs/>
          <w:sz w:val="22"/>
          <w:szCs w:val="22"/>
          <w:u w:val="single"/>
        </w:rPr>
        <w:t>:</w:t>
      </w:r>
      <w:r w:rsidRPr="00170419">
        <w:rPr>
          <w:rFonts w:cstheme="minorHAnsi"/>
          <w:sz w:val="22"/>
          <w:szCs w:val="22"/>
        </w:rPr>
        <w:t xml:space="preserve"> </w:t>
      </w:r>
      <w:r w:rsidRPr="00170419">
        <w:rPr>
          <w:rFonts w:cstheme="minorHAnsi"/>
          <w:b/>
          <w:bCs/>
          <w:sz w:val="22"/>
          <w:szCs w:val="22"/>
        </w:rPr>
        <w:t>TÜRKLİM “Vizyon 2050” Raporu Toplam Yük Tahmin Senaryoları (2025-2050)</w:t>
      </w:r>
    </w:p>
    <w:tbl>
      <w:tblPr>
        <w:tblW w:w="5680" w:type="dxa"/>
        <w:jc w:val="center"/>
        <w:tblCellMar>
          <w:left w:w="70" w:type="dxa"/>
          <w:right w:w="70" w:type="dxa"/>
        </w:tblCellMar>
        <w:tblLook w:val="04A0" w:firstRow="1" w:lastRow="0" w:firstColumn="1" w:lastColumn="0" w:noHBand="0" w:noVBand="1"/>
      </w:tblPr>
      <w:tblGrid>
        <w:gridCol w:w="1980"/>
        <w:gridCol w:w="1008"/>
        <w:gridCol w:w="587"/>
        <w:gridCol w:w="587"/>
        <w:gridCol w:w="587"/>
        <w:gridCol w:w="587"/>
        <w:gridCol w:w="587"/>
        <w:gridCol w:w="587"/>
      </w:tblGrid>
      <w:tr w:rsidR="00696FCA" w:rsidRPr="000369F4" w14:paraId="794D9E58" w14:textId="77777777" w:rsidTr="00475365">
        <w:trPr>
          <w:trHeight w:val="288"/>
          <w:jc w:val="center"/>
        </w:trPr>
        <w:tc>
          <w:tcPr>
            <w:tcW w:w="1980" w:type="dxa"/>
            <w:tcBorders>
              <w:top w:val="single" w:sz="12" w:space="0" w:color="auto"/>
              <w:left w:val="single" w:sz="12" w:space="0" w:color="auto"/>
              <w:bottom w:val="single" w:sz="12" w:space="0" w:color="auto"/>
              <w:right w:val="single" w:sz="12" w:space="0" w:color="auto"/>
            </w:tcBorders>
            <w:shd w:val="clear" w:color="auto" w:fill="FFFF00"/>
            <w:noWrap/>
            <w:vAlign w:val="bottom"/>
            <w:hideMark/>
          </w:tcPr>
          <w:p w14:paraId="6D1CA172" w14:textId="77777777" w:rsidR="00696FCA" w:rsidRPr="000369F4" w:rsidRDefault="00696FCA" w:rsidP="00696FCA">
            <w:pPr>
              <w:jc w:val="center"/>
              <w:rPr>
                <w:rFonts w:ascii="Calibri" w:hAnsi="Calibri" w:cs="Calibri"/>
                <w:b/>
                <w:bCs/>
                <w:sz w:val="22"/>
                <w:szCs w:val="22"/>
              </w:rPr>
            </w:pPr>
            <w:r w:rsidRPr="000369F4">
              <w:rPr>
                <w:rFonts w:ascii="Calibri" w:hAnsi="Calibri" w:cs="Calibri"/>
                <w:b/>
                <w:bCs/>
                <w:sz w:val="22"/>
                <w:szCs w:val="22"/>
              </w:rPr>
              <w:t>Yük Rejimi</w:t>
            </w:r>
          </w:p>
        </w:tc>
        <w:tc>
          <w:tcPr>
            <w:tcW w:w="178" w:type="dxa"/>
            <w:tcBorders>
              <w:top w:val="single" w:sz="12" w:space="0" w:color="auto"/>
              <w:left w:val="single" w:sz="12" w:space="0" w:color="auto"/>
              <w:bottom w:val="single" w:sz="12" w:space="0" w:color="auto"/>
              <w:right w:val="single" w:sz="12" w:space="0" w:color="auto"/>
            </w:tcBorders>
            <w:shd w:val="clear" w:color="auto" w:fill="FFFF00"/>
            <w:noWrap/>
            <w:vAlign w:val="bottom"/>
            <w:hideMark/>
          </w:tcPr>
          <w:p w14:paraId="7E6A89EC" w14:textId="77777777" w:rsidR="00696FCA" w:rsidRPr="000369F4" w:rsidRDefault="00696FCA" w:rsidP="00696FCA">
            <w:pPr>
              <w:jc w:val="center"/>
              <w:rPr>
                <w:rFonts w:ascii="Calibri" w:hAnsi="Calibri" w:cs="Calibri"/>
                <w:b/>
                <w:bCs/>
                <w:sz w:val="22"/>
                <w:szCs w:val="22"/>
              </w:rPr>
            </w:pPr>
            <w:r w:rsidRPr="000369F4">
              <w:rPr>
                <w:rFonts w:ascii="Calibri" w:hAnsi="Calibri" w:cs="Calibri"/>
                <w:b/>
                <w:bCs/>
                <w:sz w:val="22"/>
                <w:szCs w:val="22"/>
              </w:rPr>
              <w:t>Senaryo</w:t>
            </w:r>
          </w:p>
        </w:tc>
        <w:tc>
          <w:tcPr>
            <w:tcW w:w="587" w:type="dxa"/>
            <w:tcBorders>
              <w:top w:val="single" w:sz="12" w:space="0" w:color="auto"/>
              <w:left w:val="single" w:sz="12" w:space="0" w:color="auto"/>
              <w:bottom w:val="single" w:sz="12" w:space="0" w:color="auto"/>
              <w:right w:val="single" w:sz="12" w:space="0" w:color="auto"/>
            </w:tcBorders>
            <w:shd w:val="clear" w:color="auto" w:fill="FFFF00"/>
            <w:noWrap/>
            <w:vAlign w:val="bottom"/>
            <w:hideMark/>
          </w:tcPr>
          <w:p w14:paraId="583A1825" w14:textId="77777777" w:rsidR="00696FCA" w:rsidRPr="000369F4" w:rsidRDefault="00696FCA" w:rsidP="00696FCA">
            <w:pPr>
              <w:jc w:val="center"/>
              <w:rPr>
                <w:rFonts w:ascii="Calibri" w:hAnsi="Calibri" w:cs="Calibri"/>
                <w:b/>
                <w:bCs/>
                <w:sz w:val="22"/>
                <w:szCs w:val="22"/>
              </w:rPr>
            </w:pPr>
            <w:r w:rsidRPr="000369F4">
              <w:rPr>
                <w:rFonts w:ascii="Calibri" w:hAnsi="Calibri" w:cs="Calibri"/>
                <w:b/>
                <w:bCs/>
                <w:sz w:val="22"/>
                <w:szCs w:val="22"/>
              </w:rPr>
              <w:t>2025</w:t>
            </w:r>
          </w:p>
        </w:tc>
        <w:tc>
          <w:tcPr>
            <w:tcW w:w="587" w:type="dxa"/>
            <w:tcBorders>
              <w:top w:val="single" w:sz="12" w:space="0" w:color="auto"/>
              <w:left w:val="single" w:sz="12" w:space="0" w:color="auto"/>
              <w:bottom w:val="single" w:sz="12" w:space="0" w:color="auto"/>
              <w:right w:val="single" w:sz="12" w:space="0" w:color="auto"/>
            </w:tcBorders>
            <w:shd w:val="clear" w:color="auto" w:fill="FFFF00"/>
            <w:noWrap/>
            <w:vAlign w:val="bottom"/>
            <w:hideMark/>
          </w:tcPr>
          <w:p w14:paraId="47BD358F" w14:textId="77777777" w:rsidR="00696FCA" w:rsidRPr="000369F4" w:rsidRDefault="00696FCA" w:rsidP="00696FCA">
            <w:pPr>
              <w:jc w:val="center"/>
              <w:rPr>
                <w:rFonts w:ascii="Calibri" w:hAnsi="Calibri" w:cs="Calibri"/>
                <w:b/>
                <w:bCs/>
                <w:sz w:val="22"/>
                <w:szCs w:val="22"/>
              </w:rPr>
            </w:pPr>
            <w:r w:rsidRPr="000369F4">
              <w:rPr>
                <w:rFonts w:ascii="Calibri" w:hAnsi="Calibri" w:cs="Calibri"/>
                <w:b/>
                <w:bCs/>
                <w:sz w:val="22"/>
                <w:szCs w:val="22"/>
              </w:rPr>
              <w:t>2030</w:t>
            </w:r>
          </w:p>
        </w:tc>
        <w:tc>
          <w:tcPr>
            <w:tcW w:w="587" w:type="dxa"/>
            <w:tcBorders>
              <w:top w:val="single" w:sz="12" w:space="0" w:color="auto"/>
              <w:left w:val="single" w:sz="12" w:space="0" w:color="auto"/>
              <w:bottom w:val="single" w:sz="12" w:space="0" w:color="auto"/>
              <w:right w:val="single" w:sz="12" w:space="0" w:color="auto"/>
            </w:tcBorders>
            <w:shd w:val="clear" w:color="auto" w:fill="FFFF00"/>
            <w:noWrap/>
            <w:vAlign w:val="bottom"/>
            <w:hideMark/>
          </w:tcPr>
          <w:p w14:paraId="40BC7AED" w14:textId="77777777" w:rsidR="00696FCA" w:rsidRPr="000369F4" w:rsidRDefault="00696FCA" w:rsidP="00696FCA">
            <w:pPr>
              <w:jc w:val="center"/>
              <w:rPr>
                <w:rFonts w:ascii="Calibri" w:hAnsi="Calibri" w:cs="Calibri"/>
                <w:b/>
                <w:bCs/>
                <w:sz w:val="22"/>
                <w:szCs w:val="22"/>
              </w:rPr>
            </w:pPr>
            <w:r w:rsidRPr="000369F4">
              <w:rPr>
                <w:rFonts w:ascii="Calibri" w:hAnsi="Calibri" w:cs="Calibri"/>
                <w:b/>
                <w:bCs/>
                <w:sz w:val="22"/>
                <w:szCs w:val="22"/>
              </w:rPr>
              <w:t>2035</w:t>
            </w:r>
          </w:p>
        </w:tc>
        <w:tc>
          <w:tcPr>
            <w:tcW w:w="587" w:type="dxa"/>
            <w:tcBorders>
              <w:top w:val="single" w:sz="12" w:space="0" w:color="auto"/>
              <w:left w:val="single" w:sz="12" w:space="0" w:color="auto"/>
              <w:bottom w:val="single" w:sz="12" w:space="0" w:color="auto"/>
              <w:right w:val="single" w:sz="12" w:space="0" w:color="auto"/>
            </w:tcBorders>
            <w:shd w:val="clear" w:color="auto" w:fill="FFFF00"/>
            <w:noWrap/>
            <w:vAlign w:val="bottom"/>
            <w:hideMark/>
          </w:tcPr>
          <w:p w14:paraId="19C4B6FC" w14:textId="77777777" w:rsidR="00696FCA" w:rsidRPr="000369F4" w:rsidRDefault="00696FCA" w:rsidP="00696FCA">
            <w:pPr>
              <w:jc w:val="center"/>
              <w:rPr>
                <w:rFonts w:ascii="Calibri" w:hAnsi="Calibri" w:cs="Calibri"/>
                <w:b/>
                <w:bCs/>
                <w:sz w:val="22"/>
                <w:szCs w:val="22"/>
              </w:rPr>
            </w:pPr>
            <w:r w:rsidRPr="000369F4">
              <w:rPr>
                <w:rFonts w:ascii="Calibri" w:hAnsi="Calibri" w:cs="Calibri"/>
                <w:b/>
                <w:bCs/>
                <w:sz w:val="22"/>
                <w:szCs w:val="22"/>
              </w:rPr>
              <w:t>2040</w:t>
            </w:r>
          </w:p>
        </w:tc>
        <w:tc>
          <w:tcPr>
            <w:tcW w:w="587" w:type="dxa"/>
            <w:tcBorders>
              <w:top w:val="single" w:sz="12" w:space="0" w:color="auto"/>
              <w:left w:val="single" w:sz="12" w:space="0" w:color="auto"/>
              <w:bottom w:val="single" w:sz="12" w:space="0" w:color="auto"/>
              <w:right w:val="single" w:sz="12" w:space="0" w:color="auto"/>
            </w:tcBorders>
            <w:shd w:val="clear" w:color="auto" w:fill="FFFF00"/>
            <w:noWrap/>
            <w:vAlign w:val="bottom"/>
            <w:hideMark/>
          </w:tcPr>
          <w:p w14:paraId="2AAC8FB4" w14:textId="77777777" w:rsidR="00696FCA" w:rsidRPr="000369F4" w:rsidRDefault="00696FCA" w:rsidP="00696FCA">
            <w:pPr>
              <w:jc w:val="center"/>
              <w:rPr>
                <w:rFonts w:ascii="Calibri" w:hAnsi="Calibri" w:cs="Calibri"/>
                <w:b/>
                <w:bCs/>
                <w:sz w:val="22"/>
                <w:szCs w:val="22"/>
              </w:rPr>
            </w:pPr>
            <w:r w:rsidRPr="000369F4">
              <w:rPr>
                <w:rFonts w:ascii="Calibri" w:hAnsi="Calibri" w:cs="Calibri"/>
                <w:b/>
                <w:bCs/>
                <w:sz w:val="22"/>
                <w:szCs w:val="22"/>
              </w:rPr>
              <w:t>2045</w:t>
            </w:r>
          </w:p>
        </w:tc>
        <w:tc>
          <w:tcPr>
            <w:tcW w:w="587" w:type="dxa"/>
            <w:tcBorders>
              <w:top w:val="single" w:sz="12" w:space="0" w:color="auto"/>
              <w:left w:val="single" w:sz="12" w:space="0" w:color="auto"/>
              <w:bottom w:val="single" w:sz="12" w:space="0" w:color="auto"/>
              <w:right w:val="single" w:sz="12" w:space="0" w:color="auto"/>
            </w:tcBorders>
            <w:shd w:val="clear" w:color="auto" w:fill="FFFF00"/>
            <w:noWrap/>
            <w:vAlign w:val="bottom"/>
            <w:hideMark/>
          </w:tcPr>
          <w:p w14:paraId="3911C209" w14:textId="77777777" w:rsidR="00696FCA" w:rsidRPr="000369F4" w:rsidRDefault="00696FCA" w:rsidP="00696FCA">
            <w:pPr>
              <w:jc w:val="center"/>
              <w:rPr>
                <w:rFonts w:ascii="Calibri" w:hAnsi="Calibri" w:cs="Calibri"/>
                <w:b/>
                <w:bCs/>
                <w:sz w:val="22"/>
                <w:szCs w:val="22"/>
              </w:rPr>
            </w:pPr>
            <w:r w:rsidRPr="000369F4">
              <w:rPr>
                <w:rFonts w:ascii="Calibri" w:hAnsi="Calibri" w:cs="Calibri"/>
                <w:b/>
                <w:bCs/>
                <w:sz w:val="22"/>
                <w:szCs w:val="22"/>
              </w:rPr>
              <w:t>2050</w:t>
            </w:r>
          </w:p>
        </w:tc>
      </w:tr>
      <w:tr w:rsidR="00696FCA" w:rsidRPr="000369F4" w14:paraId="3BF3CE9E" w14:textId="77777777" w:rsidTr="00475365">
        <w:trPr>
          <w:trHeight w:val="288"/>
          <w:jc w:val="center"/>
        </w:trPr>
        <w:tc>
          <w:tcPr>
            <w:tcW w:w="19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C09652" w14:textId="05DACE8B" w:rsidR="00696FCA" w:rsidRPr="00475365" w:rsidRDefault="00696FCA">
            <w:pPr>
              <w:rPr>
                <w:rFonts w:ascii="Calibri" w:hAnsi="Calibri" w:cs="Calibri"/>
                <w:b/>
                <w:bCs/>
                <w:sz w:val="22"/>
                <w:szCs w:val="22"/>
              </w:rPr>
            </w:pPr>
            <w:r w:rsidRPr="00475365">
              <w:rPr>
                <w:rFonts w:ascii="Calibri" w:hAnsi="Calibri" w:cs="Calibri"/>
                <w:b/>
                <w:bCs/>
                <w:sz w:val="22"/>
                <w:szCs w:val="22"/>
              </w:rPr>
              <w:t xml:space="preserve">Yerel </w:t>
            </w:r>
            <w:r w:rsidR="00475365" w:rsidRPr="00475365">
              <w:rPr>
                <w:rFonts w:ascii="Calibri" w:hAnsi="Calibri" w:cs="Calibri"/>
                <w:b/>
                <w:bCs/>
                <w:sz w:val="22"/>
                <w:szCs w:val="22"/>
              </w:rPr>
              <w:t>Konteyner</w:t>
            </w:r>
          </w:p>
        </w:tc>
        <w:tc>
          <w:tcPr>
            <w:tcW w:w="17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53A779" w14:textId="77777777" w:rsidR="00696FCA" w:rsidRPr="000369F4" w:rsidRDefault="00696FCA">
            <w:pPr>
              <w:rPr>
                <w:rFonts w:ascii="Calibri" w:hAnsi="Calibri" w:cs="Calibri"/>
                <w:sz w:val="22"/>
                <w:szCs w:val="22"/>
              </w:rPr>
            </w:pPr>
            <w:r w:rsidRPr="000369F4">
              <w:rPr>
                <w:rFonts w:ascii="Calibri" w:hAnsi="Calibri" w:cs="Calibri"/>
                <w:sz w:val="22"/>
                <w:szCs w:val="22"/>
              </w:rPr>
              <w:t>Kötümser</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84CA512"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10,2</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F6594C2"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12,6</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089B8F"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15,2</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044A8EC"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18,1</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1135C2"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21,3</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0482D05"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25,2</w:t>
            </w:r>
          </w:p>
        </w:tc>
      </w:tr>
      <w:tr w:rsidR="00696FCA" w:rsidRPr="000369F4" w14:paraId="3F8F3FE8" w14:textId="77777777" w:rsidTr="00475365">
        <w:trPr>
          <w:trHeight w:val="288"/>
          <w:jc w:val="center"/>
        </w:trPr>
        <w:tc>
          <w:tcPr>
            <w:tcW w:w="198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34A46E9" w14:textId="77777777" w:rsidR="00696FCA" w:rsidRPr="00475365" w:rsidRDefault="00696FCA">
            <w:pPr>
              <w:rPr>
                <w:rFonts w:ascii="Calibri" w:hAnsi="Calibri" w:cs="Calibri"/>
                <w:b/>
                <w:bCs/>
                <w:sz w:val="22"/>
                <w:szCs w:val="22"/>
              </w:rPr>
            </w:pPr>
          </w:p>
        </w:tc>
        <w:tc>
          <w:tcPr>
            <w:tcW w:w="178"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238F2560" w14:textId="77777777" w:rsidR="00696FCA" w:rsidRPr="00475365" w:rsidRDefault="00696FCA">
            <w:pPr>
              <w:rPr>
                <w:rFonts w:ascii="Calibri" w:hAnsi="Calibri" w:cs="Calibri"/>
                <w:b/>
                <w:bCs/>
                <w:sz w:val="22"/>
                <w:szCs w:val="22"/>
              </w:rPr>
            </w:pPr>
            <w:r w:rsidRPr="00475365">
              <w:rPr>
                <w:rFonts w:ascii="Calibri" w:hAnsi="Calibri" w:cs="Calibri"/>
                <w:b/>
                <w:bCs/>
                <w:sz w:val="22"/>
                <w:szCs w:val="22"/>
              </w:rPr>
              <w:t>Referans</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4599875A"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11,6</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2DEA595E"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14,4</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1273448A"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17,3</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6B19305B"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20,4</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4061052D"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23,7</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65105B66"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27,4</w:t>
            </w:r>
          </w:p>
        </w:tc>
      </w:tr>
      <w:tr w:rsidR="00696FCA" w:rsidRPr="000369F4" w14:paraId="7BCF0664" w14:textId="77777777" w:rsidTr="00475365">
        <w:trPr>
          <w:trHeight w:val="288"/>
          <w:jc w:val="center"/>
        </w:trPr>
        <w:tc>
          <w:tcPr>
            <w:tcW w:w="198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59377AD" w14:textId="77777777" w:rsidR="00696FCA" w:rsidRPr="00475365" w:rsidRDefault="00696FCA">
            <w:pPr>
              <w:rPr>
                <w:rFonts w:ascii="Calibri" w:hAnsi="Calibri" w:cs="Calibri"/>
                <w:b/>
                <w:bCs/>
                <w:sz w:val="22"/>
                <w:szCs w:val="22"/>
              </w:rPr>
            </w:pPr>
          </w:p>
        </w:tc>
        <w:tc>
          <w:tcPr>
            <w:tcW w:w="17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63243B" w14:textId="77777777" w:rsidR="00696FCA" w:rsidRPr="000369F4" w:rsidRDefault="00696FCA">
            <w:pPr>
              <w:rPr>
                <w:rFonts w:ascii="Calibri" w:hAnsi="Calibri" w:cs="Calibri"/>
                <w:sz w:val="22"/>
                <w:szCs w:val="22"/>
              </w:rPr>
            </w:pPr>
            <w:r w:rsidRPr="000369F4">
              <w:rPr>
                <w:rFonts w:ascii="Calibri" w:hAnsi="Calibri" w:cs="Calibri"/>
                <w:sz w:val="22"/>
                <w:szCs w:val="22"/>
              </w:rPr>
              <w:t>İyimser</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771B2FE"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13,1</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FEC7FA9"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16,3</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EEA3183"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19,5</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97A547F"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22,7</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50840D0"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25,9</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8AB39A4"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29,0</w:t>
            </w:r>
          </w:p>
        </w:tc>
      </w:tr>
      <w:tr w:rsidR="00B30A31" w:rsidRPr="000369F4" w14:paraId="6682826E" w14:textId="77777777" w:rsidTr="00475365">
        <w:trPr>
          <w:trHeight w:val="288"/>
          <w:jc w:val="center"/>
        </w:trPr>
        <w:tc>
          <w:tcPr>
            <w:tcW w:w="1980" w:type="dxa"/>
            <w:tcBorders>
              <w:top w:val="single" w:sz="12" w:space="0" w:color="auto"/>
              <w:bottom w:val="single" w:sz="12" w:space="0" w:color="auto"/>
            </w:tcBorders>
            <w:shd w:val="clear" w:color="auto" w:fill="auto"/>
            <w:noWrap/>
            <w:vAlign w:val="center"/>
          </w:tcPr>
          <w:p w14:paraId="757675CE" w14:textId="77777777" w:rsidR="00B30A31" w:rsidRPr="00475365" w:rsidRDefault="00B30A31">
            <w:pPr>
              <w:rPr>
                <w:rFonts w:ascii="Calibri" w:hAnsi="Calibri" w:cs="Calibri"/>
                <w:b/>
                <w:bCs/>
                <w:sz w:val="22"/>
                <w:szCs w:val="22"/>
              </w:rPr>
            </w:pPr>
          </w:p>
        </w:tc>
        <w:tc>
          <w:tcPr>
            <w:tcW w:w="178" w:type="dxa"/>
            <w:tcBorders>
              <w:top w:val="single" w:sz="12" w:space="0" w:color="auto"/>
              <w:bottom w:val="single" w:sz="12" w:space="0" w:color="auto"/>
            </w:tcBorders>
            <w:shd w:val="clear" w:color="auto" w:fill="auto"/>
            <w:noWrap/>
            <w:vAlign w:val="center"/>
          </w:tcPr>
          <w:p w14:paraId="5C924DD4" w14:textId="77777777" w:rsidR="00B30A31" w:rsidRPr="000369F4" w:rsidRDefault="00B30A31">
            <w:pPr>
              <w:rPr>
                <w:rFonts w:ascii="Calibri" w:hAnsi="Calibri" w:cs="Calibri"/>
                <w:sz w:val="22"/>
                <w:szCs w:val="22"/>
              </w:rPr>
            </w:pPr>
          </w:p>
        </w:tc>
        <w:tc>
          <w:tcPr>
            <w:tcW w:w="587" w:type="dxa"/>
            <w:tcBorders>
              <w:top w:val="single" w:sz="12" w:space="0" w:color="auto"/>
              <w:bottom w:val="single" w:sz="12" w:space="0" w:color="auto"/>
            </w:tcBorders>
            <w:shd w:val="clear" w:color="auto" w:fill="auto"/>
            <w:noWrap/>
            <w:vAlign w:val="bottom"/>
          </w:tcPr>
          <w:p w14:paraId="73C0B0BA" w14:textId="77777777" w:rsidR="00B30A31" w:rsidRPr="000369F4" w:rsidRDefault="00B30A31">
            <w:pPr>
              <w:jc w:val="right"/>
              <w:rPr>
                <w:rFonts w:ascii="Calibri" w:hAnsi="Calibri" w:cs="Calibri"/>
                <w:sz w:val="22"/>
                <w:szCs w:val="22"/>
              </w:rPr>
            </w:pPr>
          </w:p>
        </w:tc>
        <w:tc>
          <w:tcPr>
            <w:tcW w:w="587" w:type="dxa"/>
            <w:tcBorders>
              <w:top w:val="single" w:sz="12" w:space="0" w:color="auto"/>
              <w:bottom w:val="single" w:sz="12" w:space="0" w:color="auto"/>
            </w:tcBorders>
            <w:shd w:val="clear" w:color="auto" w:fill="auto"/>
            <w:noWrap/>
            <w:vAlign w:val="bottom"/>
          </w:tcPr>
          <w:p w14:paraId="4248D34B" w14:textId="77777777" w:rsidR="00B30A31" w:rsidRPr="000369F4" w:rsidRDefault="00B30A31">
            <w:pPr>
              <w:jc w:val="right"/>
              <w:rPr>
                <w:rFonts w:ascii="Calibri" w:hAnsi="Calibri" w:cs="Calibri"/>
                <w:sz w:val="22"/>
                <w:szCs w:val="22"/>
              </w:rPr>
            </w:pPr>
          </w:p>
        </w:tc>
        <w:tc>
          <w:tcPr>
            <w:tcW w:w="587" w:type="dxa"/>
            <w:tcBorders>
              <w:top w:val="single" w:sz="12" w:space="0" w:color="auto"/>
              <w:bottom w:val="single" w:sz="12" w:space="0" w:color="auto"/>
            </w:tcBorders>
            <w:shd w:val="clear" w:color="auto" w:fill="auto"/>
            <w:noWrap/>
            <w:vAlign w:val="bottom"/>
          </w:tcPr>
          <w:p w14:paraId="7EDECAAB" w14:textId="77777777" w:rsidR="00B30A31" w:rsidRPr="000369F4" w:rsidRDefault="00B30A31">
            <w:pPr>
              <w:jc w:val="right"/>
              <w:rPr>
                <w:rFonts w:ascii="Calibri" w:hAnsi="Calibri" w:cs="Calibri"/>
                <w:sz w:val="22"/>
                <w:szCs w:val="22"/>
              </w:rPr>
            </w:pPr>
          </w:p>
        </w:tc>
        <w:tc>
          <w:tcPr>
            <w:tcW w:w="587" w:type="dxa"/>
            <w:tcBorders>
              <w:top w:val="single" w:sz="12" w:space="0" w:color="auto"/>
              <w:bottom w:val="single" w:sz="12" w:space="0" w:color="auto"/>
            </w:tcBorders>
            <w:shd w:val="clear" w:color="auto" w:fill="auto"/>
            <w:noWrap/>
            <w:vAlign w:val="bottom"/>
          </w:tcPr>
          <w:p w14:paraId="44120DF0" w14:textId="77777777" w:rsidR="00B30A31" w:rsidRPr="000369F4" w:rsidRDefault="00B30A31">
            <w:pPr>
              <w:jc w:val="right"/>
              <w:rPr>
                <w:rFonts w:ascii="Calibri" w:hAnsi="Calibri" w:cs="Calibri"/>
                <w:sz w:val="22"/>
                <w:szCs w:val="22"/>
              </w:rPr>
            </w:pPr>
          </w:p>
        </w:tc>
        <w:tc>
          <w:tcPr>
            <w:tcW w:w="587" w:type="dxa"/>
            <w:tcBorders>
              <w:top w:val="single" w:sz="12" w:space="0" w:color="auto"/>
              <w:bottom w:val="single" w:sz="12" w:space="0" w:color="auto"/>
            </w:tcBorders>
            <w:shd w:val="clear" w:color="auto" w:fill="auto"/>
            <w:noWrap/>
            <w:vAlign w:val="bottom"/>
          </w:tcPr>
          <w:p w14:paraId="03AD87EF" w14:textId="77777777" w:rsidR="00B30A31" w:rsidRPr="000369F4" w:rsidRDefault="00B30A31">
            <w:pPr>
              <w:jc w:val="right"/>
              <w:rPr>
                <w:rFonts w:ascii="Calibri" w:hAnsi="Calibri" w:cs="Calibri"/>
                <w:sz w:val="22"/>
                <w:szCs w:val="22"/>
              </w:rPr>
            </w:pPr>
          </w:p>
        </w:tc>
        <w:tc>
          <w:tcPr>
            <w:tcW w:w="587" w:type="dxa"/>
            <w:tcBorders>
              <w:top w:val="single" w:sz="12" w:space="0" w:color="auto"/>
              <w:bottom w:val="single" w:sz="12" w:space="0" w:color="auto"/>
            </w:tcBorders>
            <w:shd w:val="clear" w:color="auto" w:fill="auto"/>
            <w:noWrap/>
            <w:vAlign w:val="bottom"/>
          </w:tcPr>
          <w:p w14:paraId="334483D6" w14:textId="77777777" w:rsidR="00B30A31" w:rsidRPr="000369F4" w:rsidRDefault="00B30A31">
            <w:pPr>
              <w:jc w:val="right"/>
              <w:rPr>
                <w:rFonts w:ascii="Calibri" w:hAnsi="Calibri" w:cs="Calibri"/>
                <w:sz w:val="22"/>
                <w:szCs w:val="22"/>
              </w:rPr>
            </w:pPr>
          </w:p>
        </w:tc>
      </w:tr>
      <w:tr w:rsidR="00696FCA" w:rsidRPr="000369F4" w14:paraId="596DF11E" w14:textId="77777777" w:rsidTr="00475365">
        <w:trPr>
          <w:trHeight w:val="288"/>
          <w:jc w:val="center"/>
        </w:trPr>
        <w:tc>
          <w:tcPr>
            <w:tcW w:w="19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03524E9" w14:textId="42D35FFF" w:rsidR="00696FCA" w:rsidRPr="00475365" w:rsidRDefault="00696FCA">
            <w:pPr>
              <w:rPr>
                <w:rFonts w:ascii="Calibri" w:hAnsi="Calibri" w:cs="Calibri"/>
                <w:b/>
                <w:bCs/>
                <w:sz w:val="22"/>
                <w:szCs w:val="22"/>
              </w:rPr>
            </w:pPr>
            <w:r w:rsidRPr="00475365">
              <w:rPr>
                <w:rFonts w:ascii="Calibri" w:hAnsi="Calibri" w:cs="Calibri"/>
                <w:b/>
                <w:bCs/>
                <w:sz w:val="22"/>
                <w:szCs w:val="22"/>
              </w:rPr>
              <w:t>Transit</w:t>
            </w:r>
            <w:r w:rsidR="00475365" w:rsidRPr="00475365">
              <w:rPr>
                <w:rFonts w:ascii="Calibri" w:hAnsi="Calibri" w:cs="Calibri"/>
                <w:b/>
                <w:bCs/>
                <w:sz w:val="22"/>
                <w:szCs w:val="22"/>
              </w:rPr>
              <w:t xml:space="preserve"> Konteyner</w:t>
            </w:r>
          </w:p>
        </w:tc>
        <w:tc>
          <w:tcPr>
            <w:tcW w:w="17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D5DEC8" w14:textId="77777777" w:rsidR="00696FCA" w:rsidRPr="000369F4" w:rsidRDefault="00696FCA">
            <w:pPr>
              <w:rPr>
                <w:rFonts w:ascii="Calibri" w:hAnsi="Calibri" w:cs="Calibri"/>
                <w:sz w:val="22"/>
                <w:szCs w:val="22"/>
              </w:rPr>
            </w:pPr>
            <w:r w:rsidRPr="000369F4">
              <w:rPr>
                <w:rFonts w:ascii="Calibri" w:hAnsi="Calibri" w:cs="Calibri"/>
                <w:sz w:val="22"/>
                <w:szCs w:val="22"/>
              </w:rPr>
              <w:t>Kötümser</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4D053DB"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3,7</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72DD10C"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4,5</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3B9A70D"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5,5</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44A9AED"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6,7</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D2663F2"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8,1</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4D4F954"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9,9</w:t>
            </w:r>
          </w:p>
        </w:tc>
      </w:tr>
      <w:tr w:rsidR="00696FCA" w:rsidRPr="000369F4" w14:paraId="38EAC0C0" w14:textId="77777777" w:rsidTr="00475365">
        <w:trPr>
          <w:trHeight w:val="288"/>
          <w:jc w:val="center"/>
        </w:trPr>
        <w:tc>
          <w:tcPr>
            <w:tcW w:w="198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9C7F16D" w14:textId="77777777" w:rsidR="00696FCA" w:rsidRPr="00475365" w:rsidRDefault="00696FCA">
            <w:pPr>
              <w:rPr>
                <w:rFonts w:ascii="Calibri" w:hAnsi="Calibri" w:cs="Calibri"/>
                <w:b/>
                <w:bCs/>
                <w:sz w:val="22"/>
                <w:szCs w:val="22"/>
              </w:rPr>
            </w:pPr>
          </w:p>
        </w:tc>
        <w:tc>
          <w:tcPr>
            <w:tcW w:w="178"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3685C128" w14:textId="77777777" w:rsidR="00696FCA" w:rsidRPr="00475365" w:rsidRDefault="00696FCA">
            <w:pPr>
              <w:rPr>
                <w:rFonts w:ascii="Calibri" w:hAnsi="Calibri" w:cs="Calibri"/>
                <w:b/>
                <w:bCs/>
                <w:sz w:val="22"/>
                <w:szCs w:val="22"/>
              </w:rPr>
            </w:pPr>
            <w:r w:rsidRPr="00475365">
              <w:rPr>
                <w:rFonts w:ascii="Calibri" w:hAnsi="Calibri" w:cs="Calibri"/>
                <w:b/>
                <w:bCs/>
                <w:sz w:val="22"/>
                <w:szCs w:val="22"/>
              </w:rPr>
              <w:t>Referans</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444FFE36"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4,2</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4BD83FEC"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5,3</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42192690"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6,8</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59E93661"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8,7</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62D81FCC"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11,1</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1848B8EB" w14:textId="77777777" w:rsidR="00696FCA" w:rsidRPr="00475365" w:rsidRDefault="00696FCA">
            <w:pPr>
              <w:jc w:val="right"/>
              <w:rPr>
                <w:rFonts w:ascii="Calibri" w:hAnsi="Calibri" w:cs="Calibri"/>
                <w:b/>
                <w:bCs/>
                <w:sz w:val="22"/>
                <w:szCs w:val="22"/>
              </w:rPr>
            </w:pPr>
            <w:r w:rsidRPr="00475365">
              <w:rPr>
                <w:rFonts w:ascii="Calibri" w:hAnsi="Calibri" w:cs="Calibri"/>
                <w:b/>
                <w:bCs/>
                <w:sz w:val="22"/>
                <w:szCs w:val="22"/>
              </w:rPr>
              <w:t>14,2</w:t>
            </w:r>
          </w:p>
        </w:tc>
      </w:tr>
      <w:tr w:rsidR="00696FCA" w:rsidRPr="000369F4" w14:paraId="4A1193CD" w14:textId="77777777" w:rsidTr="00475365">
        <w:trPr>
          <w:trHeight w:val="288"/>
          <w:jc w:val="center"/>
        </w:trPr>
        <w:tc>
          <w:tcPr>
            <w:tcW w:w="198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0F15421" w14:textId="77777777" w:rsidR="00696FCA" w:rsidRPr="00475365" w:rsidRDefault="00696FCA">
            <w:pPr>
              <w:rPr>
                <w:rFonts w:ascii="Calibri" w:hAnsi="Calibri" w:cs="Calibri"/>
                <w:b/>
                <w:bCs/>
                <w:sz w:val="22"/>
                <w:szCs w:val="22"/>
              </w:rPr>
            </w:pPr>
          </w:p>
        </w:tc>
        <w:tc>
          <w:tcPr>
            <w:tcW w:w="17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352950" w14:textId="77777777" w:rsidR="00696FCA" w:rsidRPr="000369F4" w:rsidRDefault="00696FCA">
            <w:pPr>
              <w:rPr>
                <w:rFonts w:ascii="Calibri" w:hAnsi="Calibri" w:cs="Calibri"/>
                <w:sz w:val="22"/>
                <w:szCs w:val="22"/>
              </w:rPr>
            </w:pPr>
            <w:r w:rsidRPr="000369F4">
              <w:rPr>
                <w:rFonts w:ascii="Calibri" w:hAnsi="Calibri" w:cs="Calibri"/>
                <w:sz w:val="22"/>
                <w:szCs w:val="22"/>
              </w:rPr>
              <w:t>İyimser</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37ECC29"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4,3</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26B2286"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5,8</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3186286"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7,8</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9885B44"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10,4</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F21F619"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13,9</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4EB1858" w14:textId="77777777" w:rsidR="00696FCA" w:rsidRPr="000369F4" w:rsidRDefault="00696FCA">
            <w:pPr>
              <w:jc w:val="right"/>
              <w:rPr>
                <w:rFonts w:ascii="Calibri" w:hAnsi="Calibri" w:cs="Calibri"/>
                <w:sz w:val="22"/>
                <w:szCs w:val="22"/>
              </w:rPr>
            </w:pPr>
            <w:r w:rsidRPr="000369F4">
              <w:rPr>
                <w:rFonts w:ascii="Calibri" w:hAnsi="Calibri" w:cs="Calibri"/>
                <w:sz w:val="22"/>
                <w:szCs w:val="22"/>
              </w:rPr>
              <w:t>18,6</w:t>
            </w:r>
          </w:p>
        </w:tc>
      </w:tr>
      <w:tr w:rsidR="00B30A31" w:rsidRPr="000369F4" w14:paraId="61857022" w14:textId="77777777" w:rsidTr="00475365">
        <w:trPr>
          <w:trHeight w:val="288"/>
          <w:jc w:val="center"/>
        </w:trPr>
        <w:tc>
          <w:tcPr>
            <w:tcW w:w="1980" w:type="dxa"/>
            <w:tcBorders>
              <w:top w:val="single" w:sz="12" w:space="0" w:color="auto"/>
              <w:bottom w:val="single" w:sz="12" w:space="0" w:color="auto"/>
            </w:tcBorders>
            <w:shd w:val="clear" w:color="auto" w:fill="auto"/>
            <w:noWrap/>
            <w:vAlign w:val="center"/>
          </w:tcPr>
          <w:p w14:paraId="2ACFF67B" w14:textId="77777777" w:rsidR="00B30A31" w:rsidRPr="00475365" w:rsidRDefault="00B30A31">
            <w:pPr>
              <w:rPr>
                <w:rFonts w:ascii="Calibri" w:hAnsi="Calibri" w:cs="Calibri"/>
                <w:b/>
                <w:bCs/>
                <w:sz w:val="22"/>
                <w:szCs w:val="22"/>
              </w:rPr>
            </w:pPr>
          </w:p>
        </w:tc>
        <w:tc>
          <w:tcPr>
            <w:tcW w:w="178" w:type="dxa"/>
            <w:tcBorders>
              <w:top w:val="single" w:sz="12" w:space="0" w:color="auto"/>
              <w:bottom w:val="single" w:sz="12" w:space="0" w:color="auto"/>
            </w:tcBorders>
            <w:shd w:val="clear" w:color="auto" w:fill="auto"/>
            <w:noWrap/>
            <w:vAlign w:val="center"/>
          </w:tcPr>
          <w:p w14:paraId="072F96F1" w14:textId="77777777" w:rsidR="00B30A31" w:rsidRPr="000369F4" w:rsidRDefault="00B30A31">
            <w:pPr>
              <w:rPr>
                <w:rFonts w:ascii="Calibri" w:hAnsi="Calibri" w:cs="Calibri"/>
                <w:b/>
                <w:bCs/>
                <w:sz w:val="22"/>
                <w:szCs w:val="22"/>
              </w:rPr>
            </w:pPr>
          </w:p>
        </w:tc>
        <w:tc>
          <w:tcPr>
            <w:tcW w:w="587" w:type="dxa"/>
            <w:tcBorders>
              <w:top w:val="single" w:sz="12" w:space="0" w:color="auto"/>
              <w:bottom w:val="single" w:sz="12" w:space="0" w:color="auto"/>
            </w:tcBorders>
            <w:shd w:val="clear" w:color="auto" w:fill="auto"/>
            <w:noWrap/>
            <w:vAlign w:val="bottom"/>
          </w:tcPr>
          <w:p w14:paraId="47BE4F40" w14:textId="77777777" w:rsidR="00B30A31" w:rsidRPr="000369F4" w:rsidRDefault="00B30A31">
            <w:pPr>
              <w:jc w:val="right"/>
              <w:rPr>
                <w:rFonts w:ascii="Calibri" w:hAnsi="Calibri" w:cs="Calibri"/>
                <w:b/>
                <w:bCs/>
                <w:sz w:val="22"/>
                <w:szCs w:val="22"/>
              </w:rPr>
            </w:pPr>
          </w:p>
        </w:tc>
        <w:tc>
          <w:tcPr>
            <w:tcW w:w="587" w:type="dxa"/>
            <w:tcBorders>
              <w:top w:val="single" w:sz="12" w:space="0" w:color="auto"/>
              <w:bottom w:val="single" w:sz="12" w:space="0" w:color="auto"/>
            </w:tcBorders>
            <w:shd w:val="clear" w:color="auto" w:fill="auto"/>
            <w:noWrap/>
            <w:vAlign w:val="bottom"/>
          </w:tcPr>
          <w:p w14:paraId="6AF330D3" w14:textId="77777777" w:rsidR="00B30A31" w:rsidRPr="000369F4" w:rsidRDefault="00B30A31">
            <w:pPr>
              <w:jc w:val="right"/>
              <w:rPr>
                <w:rFonts w:ascii="Calibri" w:hAnsi="Calibri" w:cs="Calibri"/>
                <w:b/>
                <w:bCs/>
                <w:sz w:val="22"/>
                <w:szCs w:val="22"/>
              </w:rPr>
            </w:pPr>
          </w:p>
        </w:tc>
        <w:tc>
          <w:tcPr>
            <w:tcW w:w="587" w:type="dxa"/>
            <w:tcBorders>
              <w:top w:val="single" w:sz="12" w:space="0" w:color="auto"/>
              <w:bottom w:val="single" w:sz="12" w:space="0" w:color="auto"/>
            </w:tcBorders>
            <w:shd w:val="clear" w:color="auto" w:fill="auto"/>
            <w:noWrap/>
            <w:vAlign w:val="bottom"/>
          </w:tcPr>
          <w:p w14:paraId="0EA5020C" w14:textId="77777777" w:rsidR="00B30A31" w:rsidRPr="000369F4" w:rsidRDefault="00B30A31">
            <w:pPr>
              <w:jc w:val="right"/>
              <w:rPr>
                <w:rFonts w:ascii="Calibri" w:hAnsi="Calibri" w:cs="Calibri"/>
                <w:b/>
                <w:bCs/>
                <w:sz w:val="22"/>
                <w:szCs w:val="22"/>
              </w:rPr>
            </w:pPr>
          </w:p>
        </w:tc>
        <w:tc>
          <w:tcPr>
            <w:tcW w:w="587" w:type="dxa"/>
            <w:tcBorders>
              <w:top w:val="single" w:sz="12" w:space="0" w:color="auto"/>
              <w:bottom w:val="single" w:sz="12" w:space="0" w:color="auto"/>
            </w:tcBorders>
            <w:shd w:val="clear" w:color="auto" w:fill="auto"/>
            <w:noWrap/>
            <w:vAlign w:val="bottom"/>
          </w:tcPr>
          <w:p w14:paraId="6B4C2F58" w14:textId="77777777" w:rsidR="00B30A31" w:rsidRPr="000369F4" w:rsidRDefault="00B30A31">
            <w:pPr>
              <w:jc w:val="right"/>
              <w:rPr>
                <w:rFonts w:ascii="Calibri" w:hAnsi="Calibri" w:cs="Calibri"/>
                <w:b/>
                <w:bCs/>
                <w:sz w:val="22"/>
                <w:szCs w:val="22"/>
              </w:rPr>
            </w:pPr>
          </w:p>
        </w:tc>
        <w:tc>
          <w:tcPr>
            <w:tcW w:w="587" w:type="dxa"/>
            <w:tcBorders>
              <w:top w:val="single" w:sz="12" w:space="0" w:color="auto"/>
              <w:bottom w:val="single" w:sz="12" w:space="0" w:color="auto"/>
            </w:tcBorders>
            <w:shd w:val="clear" w:color="auto" w:fill="auto"/>
            <w:noWrap/>
            <w:vAlign w:val="bottom"/>
          </w:tcPr>
          <w:p w14:paraId="64C12A85" w14:textId="77777777" w:rsidR="00B30A31" w:rsidRPr="000369F4" w:rsidRDefault="00B30A31">
            <w:pPr>
              <w:jc w:val="right"/>
              <w:rPr>
                <w:rFonts w:ascii="Calibri" w:hAnsi="Calibri" w:cs="Calibri"/>
                <w:b/>
                <w:bCs/>
                <w:sz w:val="22"/>
                <w:szCs w:val="22"/>
              </w:rPr>
            </w:pPr>
          </w:p>
        </w:tc>
        <w:tc>
          <w:tcPr>
            <w:tcW w:w="587" w:type="dxa"/>
            <w:tcBorders>
              <w:top w:val="single" w:sz="12" w:space="0" w:color="auto"/>
              <w:bottom w:val="single" w:sz="12" w:space="0" w:color="auto"/>
            </w:tcBorders>
            <w:shd w:val="clear" w:color="auto" w:fill="auto"/>
            <w:noWrap/>
            <w:vAlign w:val="bottom"/>
          </w:tcPr>
          <w:p w14:paraId="61890B5A" w14:textId="77777777" w:rsidR="00B30A31" w:rsidRPr="000369F4" w:rsidRDefault="00B30A31">
            <w:pPr>
              <w:jc w:val="right"/>
              <w:rPr>
                <w:rFonts w:ascii="Calibri" w:hAnsi="Calibri" w:cs="Calibri"/>
                <w:b/>
                <w:bCs/>
                <w:sz w:val="22"/>
                <w:szCs w:val="22"/>
              </w:rPr>
            </w:pPr>
          </w:p>
        </w:tc>
      </w:tr>
      <w:tr w:rsidR="00696FCA" w:rsidRPr="000369F4" w14:paraId="28D572ED" w14:textId="77777777" w:rsidTr="00475365">
        <w:trPr>
          <w:trHeight w:val="288"/>
          <w:jc w:val="center"/>
        </w:trPr>
        <w:tc>
          <w:tcPr>
            <w:tcW w:w="19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600348" w14:textId="389E77D6" w:rsidR="00696FCA" w:rsidRPr="00475365" w:rsidRDefault="00475365">
            <w:pPr>
              <w:rPr>
                <w:rFonts w:ascii="Calibri" w:hAnsi="Calibri" w:cs="Calibri"/>
                <w:b/>
                <w:bCs/>
                <w:sz w:val="22"/>
                <w:szCs w:val="22"/>
              </w:rPr>
            </w:pPr>
            <w:r w:rsidRPr="00475365">
              <w:rPr>
                <w:rFonts w:ascii="Calibri" w:hAnsi="Calibri" w:cs="Calibri"/>
                <w:b/>
                <w:bCs/>
                <w:sz w:val="22"/>
                <w:szCs w:val="22"/>
              </w:rPr>
              <w:t>Toplam Konteyner</w:t>
            </w:r>
          </w:p>
        </w:tc>
        <w:tc>
          <w:tcPr>
            <w:tcW w:w="17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6A9289" w14:textId="77777777" w:rsidR="00696FCA" w:rsidRPr="00475365" w:rsidRDefault="00696FCA">
            <w:pPr>
              <w:rPr>
                <w:rFonts w:ascii="Calibri" w:hAnsi="Calibri" w:cs="Calibri"/>
                <w:sz w:val="22"/>
                <w:szCs w:val="22"/>
              </w:rPr>
            </w:pPr>
            <w:r w:rsidRPr="00475365">
              <w:rPr>
                <w:rFonts w:ascii="Calibri" w:hAnsi="Calibri" w:cs="Calibri"/>
                <w:sz w:val="22"/>
                <w:szCs w:val="22"/>
              </w:rPr>
              <w:t>Kötümser</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0846025"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13,9</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1694521"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17,1</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E8DED17"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20,7</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5CD46A0"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24,8</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F1B3599"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29,5</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1E427BF"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35,1</w:t>
            </w:r>
          </w:p>
        </w:tc>
      </w:tr>
      <w:tr w:rsidR="00696FCA" w:rsidRPr="000369F4" w14:paraId="74C8C391" w14:textId="77777777" w:rsidTr="00475365">
        <w:trPr>
          <w:trHeight w:val="288"/>
          <w:jc w:val="center"/>
        </w:trPr>
        <w:tc>
          <w:tcPr>
            <w:tcW w:w="198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FA6ABD8" w14:textId="77777777" w:rsidR="00696FCA" w:rsidRPr="000369F4" w:rsidRDefault="00696FCA">
            <w:pPr>
              <w:rPr>
                <w:rFonts w:ascii="Calibri" w:hAnsi="Calibri" w:cs="Calibri"/>
                <w:b/>
                <w:bCs/>
                <w:sz w:val="22"/>
                <w:szCs w:val="22"/>
              </w:rPr>
            </w:pPr>
          </w:p>
        </w:tc>
        <w:tc>
          <w:tcPr>
            <w:tcW w:w="178"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581B3B5C" w14:textId="77777777" w:rsidR="00696FCA" w:rsidRPr="000369F4" w:rsidRDefault="00696FCA">
            <w:pPr>
              <w:rPr>
                <w:rFonts w:ascii="Calibri" w:hAnsi="Calibri" w:cs="Calibri"/>
                <w:b/>
                <w:bCs/>
                <w:sz w:val="22"/>
                <w:szCs w:val="22"/>
              </w:rPr>
            </w:pPr>
            <w:r w:rsidRPr="000369F4">
              <w:rPr>
                <w:rFonts w:ascii="Calibri" w:hAnsi="Calibri" w:cs="Calibri"/>
                <w:b/>
                <w:bCs/>
                <w:sz w:val="22"/>
                <w:szCs w:val="22"/>
              </w:rPr>
              <w:t>Referans</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27C1139D" w14:textId="77777777" w:rsidR="00696FCA" w:rsidRPr="000369F4" w:rsidRDefault="00696FCA">
            <w:pPr>
              <w:jc w:val="right"/>
              <w:rPr>
                <w:rFonts w:ascii="Calibri" w:hAnsi="Calibri" w:cs="Calibri"/>
                <w:b/>
                <w:bCs/>
                <w:sz w:val="22"/>
                <w:szCs w:val="22"/>
              </w:rPr>
            </w:pPr>
            <w:r w:rsidRPr="000369F4">
              <w:rPr>
                <w:rFonts w:ascii="Calibri" w:hAnsi="Calibri" w:cs="Calibri"/>
                <w:b/>
                <w:bCs/>
                <w:sz w:val="22"/>
                <w:szCs w:val="22"/>
              </w:rPr>
              <w:t>15,8</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351A23AF" w14:textId="77777777" w:rsidR="00696FCA" w:rsidRPr="000369F4" w:rsidRDefault="00696FCA">
            <w:pPr>
              <w:jc w:val="right"/>
              <w:rPr>
                <w:rFonts w:ascii="Calibri" w:hAnsi="Calibri" w:cs="Calibri"/>
                <w:b/>
                <w:bCs/>
                <w:sz w:val="22"/>
                <w:szCs w:val="22"/>
              </w:rPr>
            </w:pPr>
            <w:r w:rsidRPr="000369F4">
              <w:rPr>
                <w:rFonts w:ascii="Calibri" w:hAnsi="Calibri" w:cs="Calibri"/>
                <w:b/>
                <w:bCs/>
                <w:sz w:val="22"/>
                <w:szCs w:val="22"/>
              </w:rPr>
              <w:t>19,8</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46D7CC83" w14:textId="77777777" w:rsidR="00696FCA" w:rsidRPr="000369F4" w:rsidRDefault="00696FCA">
            <w:pPr>
              <w:jc w:val="right"/>
              <w:rPr>
                <w:rFonts w:ascii="Calibri" w:hAnsi="Calibri" w:cs="Calibri"/>
                <w:b/>
                <w:bCs/>
                <w:sz w:val="22"/>
                <w:szCs w:val="22"/>
              </w:rPr>
            </w:pPr>
            <w:r w:rsidRPr="000369F4">
              <w:rPr>
                <w:rFonts w:ascii="Calibri" w:hAnsi="Calibri" w:cs="Calibri"/>
                <w:b/>
                <w:bCs/>
                <w:sz w:val="22"/>
                <w:szCs w:val="22"/>
              </w:rPr>
              <w:t>24,1</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5FCD928F" w14:textId="77777777" w:rsidR="00696FCA" w:rsidRPr="000369F4" w:rsidRDefault="00696FCA">
            <w:pPr>
              <w:jc w:val="right"/>
              <w:rPr>
                <w:rFonts w:ascii="Calibri" w:hAnsi="Calibri" w:cs="Calibri"/>
                <w:b/>
                <w:bCs/>
                <w:sz w:val="22"/>
                <w:szCs w:val="22"/>
              </w:rPr>
            </w:pPr>
            <w:r w:rsidRPr="000369F4">
              <w:rPr>
                <w:rFonts w:ascii="Calibri" w:hAnsi="Calibri" w:cs="Calibri"/>
                <w:b/>
                <w:bCs/>
                <w:sz w:val="22"/>
                <w:szCs w:val="22"/>
              </w:rPr>
              <w:t>29,1</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6C7C5109" w14:textId="77777777" w:rsidR="00696FCA" w:rsidRPr="000369F4" w:rsidRDefault="00696FCA">
            <w:pPr>
              <w:jc w:val="right"/>
              <w:rPr>
                <w:rFonts w:ascii="Calibri" w:hAnsi="Calibri" w:cs="Calibri"/>
                <w:b/>
                <w:bCs/>
                <w:sz w:val="22"/>
                <w:szCs w:val="22"/>
              </w:rPr>
            </w:pPr>
            <w:r w:rsidRPr="000369F4">
              <w:rPr>
                <w:rFonts w:ascii="Calibri" w:hAnsi="Calibri" w:cs="Calibri"/>
                <w:b/>
                <w:bCs/>
                <w:sz w:val="22"/>
                <w:szCs w:val="22"/>
              </w:rPr>
              <w:t>34,8</w:t>
            </w:r>
          </w:p>
        </w:tc>
        <w:tc>
          <w:tcPr>
            <w:tcW w:w="58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783DC558" w14:textId="77777777" w:rsidR="00696FCA" w:rsidRPr="000369F4" w:rsidRDefault="00696FCA">
            <w:pPr>
              <w:jc w:val="right"/>
              <w:rPr>
                <w:rFonts w:ascii="Calibri" w:hAnsi="Calibri" w:cs="Calibri"/>
                <w:b/>
                <w:bCs/>
                <w:sz w:val="22"/>
                <w:szCs w:val="22"/>
              </w:rPr>
            </w:pPr>
            <w:r w:rsidRPr="000369F4">
              <w:rPr>
                <w:rFonts w:ascii="Calibri" w:hAnsi="Calibri" w:cs="Calibri"/>
                <w:b/>
                <w:bCs/>
                <w:sz w:val="22"/>
                <w:szCs w:val="22"/>
              </w:rPr>
              <w:t>41,5</w:t>
            </w:r>
          </w:p>
        </w:tc>
      </w:tr>
      <w:tr w:rsidR="00696FCA" w:rsidRPr="000369F4" w14:paraId="0F100329" w14:textId="77777777" w:rsidTr="00475365">
        <w:trPr>
          <w:trHeight w:val="288"/>
          <w:jc w:val="center"/>
        </w:trPr>
        <w:tc>
          <w:tcPr>
            <w:tcW w:w="198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5038297" w14:textId="77777777" w:rsidR="00696FCA" w:rsidRPr="000369F4" w:rsidRDefault="00696FCA">
            <w:pPr>
              <w:rPr>
                <w:rFonts w:ascii="Calibri" w:hAnsi="Calibri" w:cs="Calibri"/>
                <w:b/>
                <w:bCs/>
                <w:sz w:val="22"/>
                <w:szCs w:val="22"/>
              </w:rPr>
            </w:pPr>
          </w:p>
        </w:tc>
        <w:tc>
          <w:tcPr>
            <w:tcW w:w="17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B5D0DF" w14:textId="77777777" w:rsidR="00696FCA" w:rsidRPr="00475365" w:rsidRDefault="00696FCA">
            <w:pPr>
              <w:rPr>
                <w:rFonts w:ascii="Calibri" w:hAnsi="Calibri" w:cs="Calibri"/>
                <w:sz w:val="22"/>
                <w:szCs w:val="22"/>
              </w:rPr>
            </w:pPr>
            <w:r w:rsidRPr="00475365">
              <w:rPr>
                <w:rFonts w:ascii="Calibri" w:hAnsi="Calibri" w:cs="Calibri"/>
                <w:sz w:val="22"/>
                <w:szCs w:val="22"/>
              </w:rPr>
              <w:t>İyimser</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41AB1B6"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17,5</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F205D86"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22,1</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7B0B651"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27,3</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14F3D0F"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33,1</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7E63732"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39,8</w:t>
            </w:r>
          </w:p>
        </w:tc>
        <w:tc>
          <w:tcPr>
            <w:tcW w:w="5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E075B3" w14:textId="77777777" w:rsidR="00696FCA" w:rsidRPr="00475365" w:rsidRDefault="00696FCA">
            <w:pPr>
              <w:jc w:val="right"/>
              <w:rPr>
                <w:rFonts w:ascii="Calibri" w:hAnsi="Calibri" w:cs="Calibri"/>
                <w:sz w:val="22"/>
                <w:szCs w:val="22"/>
              </w:rPr>
            </w:pPr>
            <w:r w:rsidRPr="00475365">
              <w:rPr>
                <w:rFonts w:ascii="Calibri" w:hAnsi="Calibri" w:cs="Calibri"/>
                <w:sz w:val="22"/>
                <w:szCs w:val="22"/>
              </w:rPr>
              <w:t>47,7</w:t>
            </w:r>
          </w:p>
        </w:tc>
      </w:tr>
    </w:tbl>
    <w:p w14:paraId="23D7D67E" w14:textId="77777777" w:rsidR="00C93FEF" w:rsidRDefault="00C93FEF" w:rsidP="00C93FEF">
      <w:pPr>
        <w:jc w:val="center"/>
        <w:rPr>
          <w:rFonts w:cstheme="minorHAnsi"/>
          <w:b/>
          <w:bCs/>
        </w:rPr>
      </w:pPr>
    </w:p>
    <w:p w14:paraId="1007E6D9" w14:textId="047216A6" w:rsidR="00A926EB" w:rsidRPr="00A6628F" w:rsidRDefault="00A926EB" w:rsidP="00AE3B9F">
      <w:pPr>
        <w:jc w:val="both"/>
        <w:rPr>
          <w:rFonts w:cstheme="minorHAnsi"/>
          <w:sz w:val="24"/>
          <w:szCs w:val="24"/>
        </w:rPr>
      </w:pPr>
      <w:r w:rsidRPr="006506E1">
        <w:rPr>
          <w:rFonts w:cstheme="minorHAnsi"/>
          <w:sz w:val="24"/>
          <w:szCs w:val="24"/>
        </w:rPr>
        <w:t>Aşağıdaki Tablo-</w:t>
      </w:r>
      <w:r w:rsidR="00077CD0" w:rsidRPr="006506E1">
        <w:rPr>
          <w:rFonts w:cstheme="minorHAnsi"/>
          <w:sz w:val="24"/>
          <w:szCs w:val="24"/>
        </w:rPr>
        <w:t>1</w:t>
      </w:r>
      <w:r w:rsidR="008B4005">
        <w:rPr>
          <w:rFonts w:cstheme="minorHAnsi"/>
          <w:sz w:val="24"/>
          <w:szCs w:val="24"/>
        </w:rPr>
        <w:t>7</w:t>
      </w:r>
      <w:r w:rsidRPr="006506E1">
        <w:rPr>
          <w:rFonts w:cstheme="minorHAnsi"/>
          <w:sz w:val="24"/>
          <w:szCs w:val="24"/>
        </w:rPr>
        <w:t>’</w:t>
      </w:r>
      <w:r w:rsidR="00077CD0" w:rsidRPr="006506E1">
        <w:rPr>
          <w:rFonts w:cstheme="minorHAnsi"/>
          <w:sz w:val="24"/>
          <w:szCs w:val="24"/>
        </w:rPr>
        <w:t>d</w:t>
      </w:r>
      <w:r w:rsidR="008B4005">
        <w:rPr>
          <w:rFonts w:cstheme="minorHAnsi"/>
          <w:sz w:val="24"/>
          <w:szCs w:val="24"/>
        </w:rPr>
        <w:t>e</w:t>
      </w:r>
      <w:r w:rsidRPr="006506E1">
        <w:rPr>
          <w:rFonts w:cstheme="minorHAnsi"/>
          <w:sz w:val="24"/>
          <w:szCs w:val="24"/>
        </w:rPr>
        <w:t xml:space="preserve">, TÜRKLİM’in “Vizyon 2050” raporundaki tahmini senaryo rakamlarına ulaşılması için limanlarımızın 2025 yılında elleçlemesi gereken </w:t>
      </w:r>
      <w:r w:rsidR="00077CD0" w:rsidRPr="006506E1">
        <w:rPr>
          <w:rFonts w:cstheme="minorHAnsi"/>
          <w:sz w:val="24"/>
          <w:szCs w:val="24"/>
        </w:rPr>
        <w:t xml:space="preserve">Yerel, Transit ve Toplam konteyner </w:t>
      </w:r>
      <w:r w:rsidRPr="006506E1">
        <w:rPr>
          <w:rFonts w:cstheme="minorHAnsi"/>
          <w:sz w:val="24"/>
          <w:szCs w:val="24"/>
        </w:rPr>
        <w:t>miktar</w:t>
      </w:r>
      <w:r w:rsidR="00077CD0" w:rsidRPr="006506E1">
        <w:rPr>
          <w:rFonts w:cstheme="minorHAnsi"/>
          <w:sz w:val="24"/>
          <w:szCs w:val="24"/>
        </w:rPr>
        <w:t xml:space="preserve">ları </w:t>
      </w:r>
      <w:r w:rsidRPr="006506E1">
        <w:rPr>
          <w:rFonts w:cstheme="minorHAnsi"/>
          <w:sz w:val="24"/>
          <w:szCs w:val="24"/>
        </w:rPr>
        <w:t>ve</w:t>
      </w:r>
      <w:r w:rsidR="00077CD0" w:rsidRPr="006506E1">
        <w:rPr>
          <w:rFonts w:cstheme="minorHAnsi"/>
          <w:sz w:val="24"/>
          <w:szCs w:val="24"/>
        </w:rPr>
        <w:t xml:space="preserve"> bu miktarlara ulaşılması için gereken </w:t>
      </w:r>
      <w:r w:rsidRPr="006506E1">
        <w:rPr>
          <w:rFonts w:cstheme="minorHAnsi"/>
          <w:sz w:val="24"/>
          <w:szCs w:val="24"/>
        </w:rPr>
        <w:t xml:space="preserve">büyüme oranları gösterilmektedir. </w:t>
      </w:r>
    </w:p>
    <w:p w14:paraId="1A2FD286" w14:textId="2B7EDA9C" w:rsidR="00A926EB" w:rsidRPr="008B4005" w:rsidRDefault="00A926EB" w:rsidP="00A926EB">
      <w:pPr>
        <w:jc w:val="center"/>
        <w:rPr>
          <w:rFonts w:cstheme="minorHAnsi"/>
          <w:b/>
          <w:bCs/>
          <w:sz w:val="22"/>
          <w:szCs w:val="22"/>
        </w:rPr>
      </w:pPr>
      <w:r w:rsidRPr="008B4005">
        <w:rPr>
          <w:rFonts w:cstheme="minorHAnsi"/>
          <w:b/>
          <w:bCs/>
          <w:sz w:val="22"/>
          <w:szCs w:val="22"/>
          <w:u w:val="single"/>
        </w:rPr>
        <w:t>Tablo-</w:t>
      </w:r>
      <w:r w:rsidR="004F6BAA" w:rsidRPr="008B4005">
        <w:rPr>
          <w:rFonts w:cstheme="minorHAnsi"/>
          <w:b/>
          <w:bCs/>
          <w:sz w:val="22"/>
          <w:szCs w:val="22"/>
          <w:u w:val="single"/>
        </w:rPr>
        <w:t>1</w:t>
      </w:r>
      <w:r w:rsidR="008B4005" w:rsidRPr="008B4005">
        <w:rPr>
          <w:rFonts w:cstheme="minorHAnsi"/>
          <w:b/>
          <w:bCs/>
          <w:sz w:val="22"/>
          <w:szCs w:val="22"/>
          <w:u w:val="single"/>
        </w:rPr>
        <w:t>7</w:t>
      </w:r>
      <w:r w:rsidRPr="008B4005">
        <w:rPr>
          <w:rFonts w:cstheme="minorHAnsi"/>
          <w:b/>
          <w:bCs/>
          <w:sz w:val="22"/>
          <w:szCs w:val="22"/>
          <w:u w:val="single"/>
        </w:rPr>
        <w:t>:</w:t>
      </w:r>
      <w:r w:rsidRPr="008B4005">
        <w:rPr>
          <w:rFonts w:cstheme="minorHAnsi"/>
          <w:sz w:val="22"/>
          <w:szCs w:val="22"/>
        </w:rPr>
        <w:t xml:space="preserve"> </w:t>
      </w:r>
      <w:r w:rsidRPr="008B4005">
        <w:rPr>
          <w:rFonts w:cstheme="minorHAnsi"/>
          <w:b/>
          <w:bCs/>
          <w:sz w:val="22"/>
          <w:szCs w:val="22"/>
        </w:rPr>
        <w:t xml:space="preserve">TÜRKLİM “Vizyon 2050” Raporu Senaryosu 2025 Yılı Gerçekleşme Beklentisi </w:t>
      </w:r>
    </w:p>
    <w:tbl>
      <w:tblPr>
        <w:tblW w:w="8789" w:type="dxa"/>
        <w:tblCellMar>
          <w:left w:w="70" w:type="dxa"/>
          <w:right w:w="70" w:type="dxa"/>
        </w:tblCellMar>
        <w:tblLook w:val="04A0" w:firstRow="1" w:lastRow="0" w:firstColumn="1" w:lastColumn="0" w:noHBand="0" w:noVBand="1"/>
      </w:tblPr>
      <w:tblGrid>
        <w:gridCol w:w="1860"/>
        <w:gridCol w:w="1320"/>
        <w:gridCol w:w="1440"/>
        <w:gridCol w:w="1759"/>
        <w:gridCol w:w="1276"/>
        <w:gridCol w:w="1152"/>
      </w:tblGrid>
      <w:tr w:rsidR="00765497" w:rsidRPr="006556FE" w14:paraId="163574F3" w14:textId="77777777" w:rsidTr="00765497">
        <w:trPr>
          <w:trHeight w:val="1420"/>
        </w:trPr>
        <w:tc>
          <w:tcPr>
            <w:tcW w:w="1860" w:type="dxa"/>
            <w:tcBorders>
              <w:top w:val="nil"/>
              <w:left w:val="nil"/>
              <w:bottom w:val="single" w:sz="12" w:space="0" w:color="auto"/>
              <w:right w:val="single" w:sz="12" w:space="0" w:color="auto"/>
            </w:tcBorders>
            <w:shd w:val="clear" w:color="auto" w:fill="auto"/>
            <w:noWrap/>
            <w:vAlign w:val="bottom"/>
            <w:hideMark/>
          </w:tcPr>
          <w:p w14:paraId="168D803A" w14:textId="77777777" w:rsidR="006556FE" w:rsidRPr="006556FE" w:rsidRDefault="006556FE" w:rsidP="006556FE">
            <w:pPr>
              <w:spacing w:after="0" w:line="240" w:lineRule="auto"/>
              <w:rPr>
                <w:rFonts w:ascii="Aptos" w:eastAsia="Times New Roman" w:hAnsi="Aptos" w:cs="Times New Roman"/>
                <w:color w:val="000000"/>
                <w:lang w:eastAsia="tr-TR"/>
              </w:rPr>
            </w:pPr>
            <w:r w:rsidRPr="006556FE">
              <w:rPr>
                <w:rFonts w:ascii="Aptos" w:eastAsia="Times New Roman" w:hAnsi="Aptos" w:cs="Times New Roman"/>
                <w:color w:val="000000"/>
                <w:lang w:eastAsia="tr-TR"/>
              </w:rPr>
              <w:t> </w:t>
            </w:r>
          </w:p>
        </w:tc>
        <w:tc>
          <w:tcPr>
            <w:tcW w:w="1320"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4D7CE046"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2024 Yılı Konteyner Miktarı (Milyon TEU)</w:t>
            </w:r>
          </w:p>
        </w:tc>
        <w:tc>
          <w:tcPr>
            <w:tcW w:w="1440"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4AB4C7E7"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TÜRKLİM Vizyon 2050 Senaryo</w:t>
            </w:r>
          </w:p>
        </w:tc>
        <w:tc>
          <w:tcPr>
            <w:tcW w:w="1759"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68714E89" w14:textId="77777777" w:rsidR="00A67445" w:rsidRDefault="00BF29E6" w:rsidP="006556F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Vizyon 2050 </w:t>
            </w:r>
          </w:p>
          <w:p w14:paraId="1465C708" w14:textId="01D117C9" w:rsidR="006556FE" w:rsidRPr="006556FE" w:rsidRDefault="006556FE" w:rsidP="00A67445">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2025 Yılı Tahmini Konteyner Miktarı (Milyon TEU)</w:t>
            </w:r>
          </w:p>
        </w:tc>
        <w:tc>
          <w:tcPr>
            <w:tcW w:w="1276"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1F9136C7" w14:textId="24F35FA2" w:rsidR="006556FE" w:rsidRPr="006556FE" w:rsidRDefault="00BF29E6" w:rsidP="006556F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2025 </w:t>
            </w:r>
            <w:r w:rsidR="006556FE" w:rsidRPr="006556FE">
              <w:rPr>
                <w:rFonts w:ascii="Calibri" w:eastAsia="Times New Roman" w:hAnsi="Calibri" w:cs="Calibri"/>
                <w:b/>
                <w:bCs/>
                <w:color w:val="000000"/>
                <w:lang w:eastAsia="tr-TR"/>
              </w:rPr>
              <w:t>Hedef</w:t>
            </w:r>
            <w:r>
              <w:rPr>
                <w:rFonts w:ascii="Calibri" w:eastAsia="Times New Roman" w:hAnsi="Calibri" w:cs="Calibri"/>
                <w:b/>
                <w:bCs/>
                <w:color w:val="000000"/>
                <w:lang w:eastAsia="tr-TR"/>
              </w:rPr>
              <w:t>i</w:t>
            </w:r>
            <w:r w:rsidR="006556FE" w:rsidRPr="006556FE">
              <w:rPr>
                <w:rFonts w:ascii="Calibri" w:eastAsia="Times New Roman" w:hAnsi="Calibri" w:cs="Calibri"/>
                <w:b/>
                <w:bCs/>
                <w:color w:val="000000"/>
                <w:lang w:eastAsia="tr-TR"/>
              </w:rPr>
              <w:t xml:space="preserve"> İçin Konteyner Miktarı (Milyon TEU)</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vAlign w:val="center"/>
            <w:hideMark/>
          </w:tcPr>
          <w:p w14:paraId="20EF44F7" w14:textId="042FAC0F" w:rsidR="006556FE" w:rsidRPr="006556FE" w:rsidRDefault="00765497" w:rsidP="006556F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Hedeflenen </w:t>
            </w:r>
            <w:r w:rsidR="006556FE" w:rsidRPr="006556FE">
              <w:rPr>
                <w:rFonts w:ascii="Calibri" w:eastAsia="Times New Roman" w:hAnsi="Calibri" w:cs="Calibri"/>
                <w:b/>
                <w:bCs/>
                <w:color w:val="000000"/>
                <w:lang w:eastAsia="tr-TR"/>
              </w:rPr>
              <w:t>Büyüme Oranı</w:t>
            </w:r>
          </w:p>
        </w:tc>
      </w:tr>
      <w:tr w:rsidR="00765497" w:rsidRPr="006556FE" w14:paraId="5DDD23C1" w14:textId="77777777" w:rsidTr="00765497">
        <w:trPr>
          <w:trHeight w:val="310"/>
        </w:trPr>
        <w:tc>
          <w:tcPr>
            <w:tcW w:w="1860" w:type="dxa"/>
            <w:vMerge w:val="restart"/>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1BD4511E"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Yerel Konteyner</w:t>
            </w:r>
          </w:p>
        </w:tc>
        <w:tc>
          <w:tcPr>
            <w:tcW w:w="13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38A046" w14:textId="77777777" w:rsidR="006556FE" w:rsidRPr="006556FE" w:rsidRDefault="006556FE" w:rsidP="006556FE">
            <w:pPr>
              <w:spacing w:after="0" w:line="240" w:lineRule="auto"/>
              <w:jc w:val="center"/>
              <w:rPr>
                <w:rFonts w:ascii="Aptos" w:eastAsia="Times New Roman" w:hAnsi="Aptos" w:cs="Times New Roman"/>
                <w:color w:val="000000"/>
                <w:sz w:val="22"/>
                <w:szCs w:val="22"/>
                <w:lang w:eastAsia="tr-TR"/>
              </w:rPr>
            </w:pPr>
            <w:r w:rsidRPr="006556FE">
              <w:rPr>
                <w:rFonts w:ascii="Aptos" w:eastAsia="Times New Roman" w:hAnsi="Aptos" w:cs="Arial"/>
                <w:color w:val="000000"/>
                <w:sz w:val="22"/>
                <w:szCs w:val="22"/>
                <w:lang w:eastAsia="tr-TR"/>
              </w:rPr>
              <w:t>10,7</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697600"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Kötümser</w:t>
            </w:r>
          </w:p>
        </w:tc>
        <w:tc>
          <w:tcPr>
            <w:tcW w:w="17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E085F1" w14:textId="77777777" w:rsidR="006556FE" w:rsidRPr="006556FE" w:rsidRDefault="006556FE" w:rsidP="006556FE">
            <w:pPr>
              <w:spacing w:after="0" w:line="240" w:lineRule="auto"/>
              <w:jc w:val="center"/>
              <w:rPr>
                <w:rFonts w:ascii="Calibri" w:eastAsia="Times New Roman" w:hAnsi="Calibri" w:cs="Calibri"/>
                <w:color w:val="000000"/>
                <w:sz w:val="22"/>
                <w:szCs w:val="22"/>
                <w:lang w:eastAsia="tr-TR"/>
              </w:rPr>
            </w:pPr>
            <w:r w:rsidRPr="006556FE">
              <w:rPr>
                <w:rFonts w:ascii="Calibri" w:eastAsia="Times New Roman" w:hAnsi="Calibri" w:cs="Calibri"/>
                <w:color w:val="000000"/>
                <w:sz w:val="22"/>
                <w:szCs w:val="22"/>
                <w:lang w:eastAsia="tr-TR"/>
              </w:rPr>
              <w:t>10,2</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7F1AE9"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-0,5</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382481"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-4,67%</w:t>
            </w:r>
          </w:p>
        </w:tc>
      </w:tr>
      <w:tr w:rsidR="00765497" w:rsidRPr="006556FE" w14:paraId="6A6238ED" w14:textId="77777777" w:rsidTr="00765497">
        <w:trPr>
          <w:trHeight w:val="310"/>
        </w:trPr>
        <w:tc>
          <w:tcPr>
            <w:tcW w:w="1860" w:type="dxa"/>
            <w:vMerge/>
            <w:tcBorders>
              <w:top w:val="single" w:sz="12" w:space="0" w:color="auto"/>
              <w:left w:val="single" w:sz="12" w:space="0" w:color="auto"/>
              <w:bottom w:val="single" w:sz="12" w:space="0" w:color="auto"/>
              <w:right w:val="single" w:sz="12" w:space="0" w:color="auto"/>
            </w:tcBorders>
            <w:vAlign w:val="center"/>
            <w:hideMark/>
          </w:tcPr>
          <w:p w14:paraId="07B19A7A" w14:textId="77777777" w:rsidR="006556FE" w:rsidRPr="006556FE" w:rsidRDefault="006556FE" w:rsidP="006556FE">
            <w:pPr>
              <w:spacing w:after="0" w:line="240" w:lineRule="auto"/>
              <w:rPr>
                <w:rFonts w:ascii="Calibri" w:eastAsia="Times New Roman" w:hAnsi="Calibri" w:cs="Calibri"/>
                <w:b/>
                <w:bCs/>
                <w:color w:val="000000"/>
                <w:lang w:eastAsia="tr-TR"/>
              </w:rPr>
            </w:pPr>
          </w:p>
        </w:tc>
        <w:tc>
          <w:tcPr>
            <w:tcW w:w="1320" w:type="dxa"/>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437FFB5C" w14:textId="77777777" w:rsidR="006556FE" w:rsidRPr="006556FE" w:rsidRDefault="006556FE" w:rsidP="006556FE">
            <w:pPr>
              <w:spacing w:after="0" w:line="240" w:lineRule="auto"/>
              <w:jc w:val="center"/>
              <w:rPr>
                <w:rFonts w:ascii="Aptos" w:eastAsia="Times New Roman" w:hAnsi="Aptos" w:cs="Times New Roman"/>
                <w:b/>
                <w:bCs/>
                <w:color w:val="000000"/>
                <w:sz w:val="22"/>
                <w:szCs w:val="22"/>
                <w:lang w:eastAsia="tr-TR"/>
              </w:rPr>
            </w:pPr>
            <w:r w:rsidRPr="006556FE">
              <w:rPr>
                <w:rFonts w:ascii="Aptos" w:eastAsia="Times New Roman" w:hAnsi="Aptos" w:cs="Arial"/>
                <w:b/>
                <w:bCs/>
                <w:color w:val="000000"/>
                <w:sz w:val="22"/>
                <w:szCs w:val="22"/>
                <w:lang w:eastAsia="tr-TR"/>
              </w:rPr>
              <w:t>10,7</w:t>
            </w:r>
          </w:p>
        </w:tc>
        <w:tc>
          <w:tcPr>
            <w:tcW w:w="1440" w:type="dxa"/>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1FDAC560"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Referans</w:t>
            </w:r>
          </w:p>
        </w:tc>
        <w:tc>
          <w:tcPr>
            <w:tcW w:w="1759" w:type="dxa"/>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26D2BC42" w14:textId="77777777" w:rsidR="006556FE" w:rsidRPr="006556FE" w:rsidRDefault="006556FE" w:rsidP="006556FE">
            <w:pPr>
              <w:spacing w:after="0" w:line="240" w:lineRule="auto"/>
              <w:jc w:val="center"/>
              <w:rPr>
                <w:rFonts w:ascii="Calibri" w:eastAsia="Times New Roman" w:hAnsi="Calibri" w:cs="Calibri"/>
                <w:b/>
                <w:bCs/>
                <w:color w:val="000000"/>
                <w:sz w:val="22"/>
                <w:szCs w:val="22"/>
                <w:lang w:eastAsia="tr-TR"/>
              </w:rPr>
            </w:pPr>
            <w:r w:rsidRPr="006556FE">
              <w:rPr>
                <w:rFonts w:ascii="Calibri" w:eastAsia="Times New Roman" w:hAnsi="Calibri" w:cs="Calibri"/>
                <w:b/>
                <w:bCs/>
                <w:sz w:val="22"/>
                <w:szCs w:val="22"/>
                <w:lang w:eastAsia="tr-TR"/>
              </w:rPr>
              <w:t>11,6</w:t>
            </w:r>
          </w:p>
        </w:tc>
        <w:tc>
          <w:tcPr>
            <w:tcW w:w="1276"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7D8CF548"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0,9</w:t>
            </w:r>
          </w:p>
        </w:tc>
        <w:tc>
          <w:tcPr>
            <w:tcW w:w="1134"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23AACC09"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8,41%</w:t>
            </w:r>
          </w:p>
        </w:tc>
      </w:tr>
      <w:tr w:rsidR="00765497" w:rsidRPr="006556FE" w14:paraId="68BE39C4" w14:textId="77777777" w:rsidTr="00765497">
        <w:trPr>
          <w:trHeight w:val="310"/>
        </w:trPr>
        <w:tc>
          <w:tcPr>
            <w:tcW w:w="1860" w:type="dxa"/>
            <w:vMerge/>
            <w:tcBorders>
              <w:top w:val="single" w:sz="12" w:space="0" w:color="auto"/>
              <w:left w:val="single" w:sz="12" w:space="0" w:color="auto"/>
              <w:bottom w:val="single" w:sz="12" w:space="0" w:color="auto"/>
              <w:right w:val="single" w:sz="12" w:space="0" w:color="auto"/>
            </w:tcBorders>
            <w:vAlign w:val="center"/>
            <w:hideMark/>
          </w:tcPr>
          <w:p w14:paraId="552EDD20" w14:textId="77777777" w:rsidR="006556FE" w:rsidRPr="006556FE" w:rsidRDefault="006556FE" w:rsidP="006556FE">
            <w:pPr>
              <w:spacing w:after="0" w:line="240" w:lineRule="auto"/>
              <w:rPr>
                <w:rFonts w:ascii="Calibri" w:eastAsia="Times New Roman" w:hAnsi="Calibri" w:cs="Calibri"/>
                <w:b/>
                <w:bCs/>
                <w:color w:val="000000"/>
                <w:lang w:eastAsia="tr-TR"/>
              </w:rPr>
            </w:pPr>
          </w:p>
        </w:tc>
        <w:tc>
          <w:tcPr>
            <w:tcW w:w="13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E5E63A" w14:textId="77777777" w:rsidR="006556FE" w:rsidRPr="006556FE" w:rsidRDefault="006556FE" w:rsidP="006556FE">
            <w:pPr>
              <w:spacing w:after="0" w:line="240" w:lineRule="auto"/>
              <w:jc w:val="center"/>
              <w:rPr>
                <w:rFonts w:ascii="Aptos" w:eastAsia="Times New Roman" w:hAnsi="Aptos" w:cs="Times New Roman"/>
                <w:color w:val="000000"/>
                <w:sz w:val="22"/>
                <w:szCs w:val="22"/>
                <w:lang w:eastAsia="tr-TR"/>
              </w:rPr>
            </w:pPr>
            <w:r w:rsidRPr="006556FE">
              <w:rPr>
                <w:rFonts w:ascii="Aptos" w:eastAsia="Times New Roman" w:hAnsi="Aptos" w:cs="Arial"/>
                <w:color w:val="000000"/>
                <w:sz w:val="22"/>
                <w:szCs w:val="22"/>
                <w:lang w:eastAsia="tr-TR"/>
              </w:rPr>
              <w:t>10,7</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BDEB20"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İyimser</w:t>
            </w:r>
          </w:p>
        </w:tc>
        <w:tc>
          <w:tcPr>
            <w:tcW w:w="17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F22356" w14:textId="77777777" w:rsidR="006556FE" w:rsidRPr="006556FE" w:rsidRDefault="006556FE" w:rsidP="006556FE">
            <w:pPr>
              <w:spacing w:after="0" w:line="240" w:lineRule="auto"/>
              <w:jc w:val="center"/>
              <w:rPr>
                <w:rFonts w:ascii="Calibri" w:eastAsia="Times New Roman" w:hAnsi="Calibri" w:cs="Calibri"/>
                <w:color w:val="000000"/>
                <w:sz w:val="22"/>
                <w:szCs w:val="22"/>
                <w:lang w:eastAsia="tr-TR"/>
              </w:rPr>
            </w:pPr>
            <w:r w:rsidRPr="006556FE">
              <w:rPr>
                <w:rFonts w:ascii="Calibri" w:eastAsia="Times New Roman" w:hAnsi="Calibri" w:cs="Calibri"/>
                <w:color w:val="000000"/>
                <w:sz w:val="22"/>
                <w:szCs w:val="22"/>
                <w:lang w:eastAsia="tr-TR"/>
              </w:rPr>
              <w:t>13,1</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427CA0"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2,4</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B3CCA3"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22,43%</w:t>
            </w:r>
          </w:p>
        </w:tc>
      </w:tr>
      <w:tr w:rsidR="00765497" w:rsidRPr="006556FE" w14:paraId="6BAEBF20" w14:textId="77777777" w:rsidTr="00765497">
        <w:trPr>
          <w:trHeight w:val="310"/>
        </w:trPr>
        <w:tc>
          <w:tcPr>
            <w:tcW w:w="1860" w:type="dxa"/>
            <w:vMerge w:val="restart"/>
            <w:tcBorders>
              <w:top w:val="single" w:sz="12" w:space="0" w:color="auto"/>
              <w:left w:val="single" w:sz="12" w:space="0" w:color="auto"/>
              <w:bottom w:val="single" w:sz="12" w:space="0" w:color="auto"/>
              <w:right w:val="single" w:sz="12" w:space="0" w:color="auto"/>
            </w:tcBorders>
            <w:shd w:val="clear" w:color="000000" w:fill="FAE2D5"/>
            <w:vAlign w:val="center"/>
            <w:hideMark/>
          </w:tcPr>
          <w:p w14:paraId="64BB0904" w14:textId="77777777" w:rsidR="006556FE" w:rsidRPr="006556FE" w:rsidRDefault="006556FE" w:rsidP="006556FE">
            <w:pPr>
              <w:spacing w:after="0" w:line="240" w:lineRule="auto"/>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Transit Konteyner</w:t>
            </w:r>
          </w:p>
        </w:tc>
        <w:tc>
          <w:tcPr>
            <w:tcW w:w="13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55BF1C" w14:textId="77777777" w:rsidR="006556FE" w:rsidRPr="006556FE" w:rsidRDefault="006556FE" w:rsidP="006556FE">
            <w:pPr>
              <w:spacing w:after="0" w:line="240" w:lineRule="auto"/>
              <w:jc w:val="center"/>
              <w:rPr>
                <w:rFonts w:ascii="Aptos" w:eastAsia="Times New Roman" w:hAnsi="Aptos" w:cs="Times New Roman"/>
                <w:color w:val="000000"/>
                <w:sz w:val="22"/>
                <w:szCs w:val="22"/>
                <w:lang w:eastAsia="tr-TR"/>
              </w:rPr>
            </w:pPr>
            <w:r w:rsidRPr="006556FE">
              <w:rPr>
                <w:rFonts w:ascii="Aptos" w:eastAsia="Times New Roman" w:hAnsi="Aptos" w:cs="Arial"/>
                <w:color w:val="000000"/>
                <w:sz w:val="22"/>
                <w:szCs w:val="22"/>
                <w:lang w:eastAsia="tr-TR"/>
              </w:rPr>
              <w:t>2,7</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2917B26"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Kötümser</w:t>
            </w:r>
          </w:p>
        </w:tc>
        <w:tc>
          <w:tcPr>
            <w:tcW w:w="17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2E42E3" w14:textId="77777777" w:rsidR="006556FE" w:rsidRPr="006556FE" w:rsidRDefault="006556FE" w:rsidP="006556FE">
            <w:pPr>
              <w:spacing w:after="0" w:line="240" w:lineRule="auto"/>
              <w:jc w:val="center"/>
              <w:rPr>
                <w:rFonts w:ascii="Calibri" w:eastAsia="Times New Roman" w:hAnsi="Calibri" w:cs="Calibri"/>
                <w:color w:val="000000"/>
                <w:sz w:val="22"/>
                <w:szCs w:val="22"/>
                <w:lang w:eastAsia="tr-TR"/>
              </w:rPr>
            </w:pPr>
            <w:r w:rsidRPr="006556FE">
              <w:rPr>
                <w:rFonts w:ascii="Calibri" w:eastAsia="Times New Roman" w:hAnsi="Calibri" w:cs="Calibri"/>
                <w:color w:val="000000"/>
                <w:sz w:val="22"/>
                <w:szCs w:val="22"/>
                <w:lang w:eastAsia="tr-TR"/>
              </w:rPr>
              <w:t>3,7</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3C8CF63" w14:textId="35BF43C2"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1</w:t>
            </w:r>
            <w:r w:rsidR="00683A43">
              <w:rPr>
                <w:rFonts w:ascii="Calibri" w:eastAsia="Times New Roman" w:hAnsi="Calibri" w:cs="Calibri"/>
                <w:color w:val="000000"/>
                <w:lang w:eastAsia="tr-TR"/>
              </w:rPr>
              <w:t>,0</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C8E966"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37,04%</w:t>
            </w:r>
          </w:p>
        </w:tc>
      </w:tr>
      <w:tr w:rsidR="00765497" w:rsidRPr="006556FE" w14:paraId="26F8E2FD" w14:textId="77777777" w:rsidTr="00765497">
        <w:trPr>
          <w:trHeight w:val="310"/>
        </w:trPr>
        <w:tc>
          <w:tcPr>
            <w:tcW w:w="1860" w:type="dxa"/>
            <w:vMerge/>
            <w:tcBorders>
              <w:top w:val="single" w:sz="12" w:space="0" w:color="auto"/>
              <w:left w:val="single" w:sz="12" w:space="0" w:color="auto"/>
              <w:bottom w:val="single" w:sz="12" w:space="0" w:color="auto"/>
              <w:right w:val="single" w:sz="12" w:space="0" w:color="auto"/>
            </w:tcBorders>
            <w:vAlign w:val="center"/>
            <w:hideMark/>
          </w:tcPr>
          <w:p w14:paraId="29E71CFF" w14:textId="77777777" w:rsidR="006556FE" w:rsidRPr="006556FE" w:rsidRDefault="006556FE" w:rsidP="006556FE">
            <w:pPr>
              <w:spacing w:after="0" w:line="240" w:lineRule="auto"/>
              <w:rPr>
                <w:rFonts w:ascii="Calibri" w:eastAsia="Times New Roman" w:hAnsi="Calibri" w:cs="Calibri"/>
                <w:b/>
                <w:bCs/>
                <w:color w:val="000000"/>
                <w:lang w:eastAsia="tr-TR"/>
              </w:rPr>
            </w:pPr>
          </w:p>
        </w:tc>
        <w:tc>
          <w:tcPr>
            <w:tcW w:w="1320" w:type="dxa"/>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22502B8B" w14:textId="77777777" w:rsidR="006556FE" w:rsidRPr="006556FE" w:rsidRDefault="006556FE" w:rsidP="006556FE">
            <w:pPr>
              <w:spacing w:after="0" w:line="240" w:lineRule="auto"/>
              <w:jc w:val="center"/>
              <w:rPr>
                <w:rFonts w:ascii="Aptos" w:eastAsia="Times New Roman" w:hAnsi="Aptos" w:cs="Times New Roman"/>
                <w:b/>
                <w:bCs/>
                <w:color w:val="000000"/>
                <w:sz w:val="22"/>
                <w:szCs w:val="22"/>
                <w:lang w:eastAsia="tr-TR"/>
              </w:rPr>
            </w:pPr>
            <w:r w:rsidRPr="006556FE">
              <w:rPr>
                <w:rFonts w:ascii="Aptos" w:eastAsia="Times New Roman" w:hAnsi="Aptos" w:cs="Arial"/>
                <w:b/>
                <w:bCs/>
                <w:color w:val="000000"/>
                <w:sz w:val="22"/>
                <w:szCs w:val="22"/>
                <w:lang w:eastAsia="tr-TR"/>
              </w:rPr>
              <w:t>2,7</w:t>
            </w:r>
          </w:p>
        </w:tc>
        <w:tc>
          <w:tcPr>
            <w:tcW w:w="1440" w:type="dxa"/>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78A34337"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Referans</w:t>
            </w:r>
          </w:p>
        </w:tc>
        <w:tc>
          <w:tcPr>
            <w:tcW w:w="1759" w:type="dxa"/>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2A569F60" w14:textId="77777777" w:rsidR="006556FE" w:rsidRPr="006556FE" w:rsidRDefault="006556FE" w:rsidP="006556FE">
            <w:pPr>
              <w:spacing w:after="0" w:line="240" w:lineRule="auto"/>
              <w:jc w:val="center"/>
              <w:rPr>
                <w:rFonts w:ascii="Calibri" w:eastAsia="Times New Roman" w:hAnsi="Calibri" w:cs="Calibri"/>
                <w:b/>
                <w:bCs/>
                <w:color w:val="000000"/>
                <w:sz w:val="22"/>
                <w:szCs w:val="22"/>
                <w:lang w:eastAsia="tr-TR"/>
              </w:rPr>
            </w:pPr>
            <w:r w:rsidRPr="006556FE">
              <w:rPr>
                <w:rFonts w:ascii="Calibri" w:eastAsia="Times New Roman" w:hAnsi="Calibri" w:cs="Calibri"/>
                <w:b/>
                <w:bCs/>
                <w:sz w:val="22"/>
                <w:szCs w:val="22"/>
                <w:lang w:eastAsia="tr-TR"/>
              </w:rPr>
              <w:t>4,2</w:t>
            </w:r>
          </w:p>
        </w:tc>
        <w:tc>
          <w:tcPr>
            <w:tcW w:w="1276"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582CEC3B"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1,5</w:t>
            </w:r>
          </w:p>
        </w:tc>
        <w:tc>
          <w:tcPr>
            <w:tcW w:w="1134"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4E6F82C7"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55,56%</w:t>
            </w:r>
          </w:p>
        </w:tc>
      </w:tr>
      <w:tr w:rsidR="00765497" w:rsidRPr="006556FE" w14:paraId="1465CDD5" w14:textId="77777777" w:rsidTr="00765497">
        <w:trPr>
          <w:trHeight w:val="310"/>
        </w:trPr>
        <w:tc>
          <w:tcPr>
            <w:tcW w:w="1860" w:type="dxa"/>
            <w:vMerge/>
            <w:tcBorders>
              <w:top w:val="single" w:sz="12" w:space="0" w:color="auto"/>
              <w:left w:val="single" w:sz="12" w:space="0" w:color="auto"/>
              <w:bottom w:val="single" w:sz="12" w:space="0" w:color="auto"/>
              <w:right w:val="single" w:sz="12" w:space="0" w:color="auto"/>
            </w:tcBorders>
            <w:vAlign w:val="center"/>
            <w:hideMark/>
          </w:tcPr>
          <w:p w14:paraId="3528BD75" w14:textId="77777777" w:rsidR="006556FE" w:rsidRPr="006556FE" w:rsidRDefault="006556FE" w:rsidP="006556FE">
            <w:pPr>
              <w:spacing w:after="0" w:line="240" w:lineRule="auto"/>
              <w:rPr>
                <w:rFonts w:ascii="Calibri" w:eastAsia="Times New Roman" w:hAnsi="Calibri" w:cs="Calibri"/>
                <w:b/>
                <w:bCs/>
                <w:color w:val="000000"/>
                <w:lang w:eastAsia="tr-TR"/>
              </w:rPr>
            </w:pPr>
          </w:p>
        </w:tc>
        <w:tc>
          <w:tcPr>
            <w:tcW w:w="13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F8F829" w14:textId="77777777" w:rsidR="006556FE" w:rsidRPr="006556FE" w:rsidRDefault="006556FE" w:rsidP="006556FE">
            <w:pPr>
              <w:spacing w:after="0" w:line="240" w:lineRule="auto"/>
              <w:jc w:val="center"/>
              <w:rPr>
                <w:rFonts w:ascii="Aptos" w:eastAsia="Times New Roman" w:hAnsi="Aptos" w:cs="Times New Roman"/>
                <w:color w:val="000000"/>
                <w:sz w:val="22"/>
                <w:szCs w:val="22"/>
                <w:lang w:eastAsia="tr-TR"/>
              </w:rPr>
            </w:pPr>
            <w:r w:rsidRPr="006556FE">
              <w:rPr>
                <w:rFonts w:ascii="Aptos" w:eastAsia="Times New Roman" w:hAnsi="Aptos" w:cs="Arial"/>
                <w:color w:val="000000"/>
                <w:sz w:val="22"/>
                <w:szCs w:val="22"/>
                <w:lang w:eastAsia="tr-TR"/>
              </w:rPr>
              <w:t>2,7</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5521BF"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İyimser</w:t>
            </w:r>
          </w:p>
        </w:tc>
        <w:tc>
          <w:tcPr>
            <w:tcW w:w="17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FC891D" w14:textId="77777777" w:rsidR="006556FE" w:rsidRPr="006556FE" w:rsidRDefault="006556FE" w:rsidP="006556FE">
            <w:pPr>
              <w:spacing w:after="0" w:line="240" w:lineRule="auto"/>
              <w:jc w:val="center"/>
              <w:rPr>
                <w:rFonts w:ascii="Calibri" w:eastAsia="Times New Roman" w:hAnsi="Calibri" w:cs="Calibri"/>
                <w:color w:val="000000"/>
                <w:sz w:val="22"/>
                <w:szCs w:val="22"/>
                <w:lang w:eastAsia="tr-TR"/>
              </w:rPr>
            </w:pPr>
            <w:r w:rsidRPr="006556FE">
              <w:rPr>
                <w:rFonts w:ascii="Calibri" w:eastAsia="Times New Roman" w:hAnsi="Calibri" w:cs="Calibri"/>
                <w:color w:val="000000"/>
                <w:sz w:val="22"/>
                <w:szCs w:val="22"/>
                <w:lang w:eastAsia="tr-TR"/>
              </w:rPr>
              <w:t>4,3</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24C026"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1,6</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7EC6EDD"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59,26%</w:t>
            </w:r>
          </w:p>
        </w:tc>
      </w:tr>
      <w:tr w:rsidR="00765497" w:rsidRPr="006556FE" w14:paraId="4B67540B" w14:textId="77777777" w:rsidTr="00765497">
        <w:trPr>
          <w:trHeight w:val="310"/>
        </w:trPr>
        <w:tc>
          <w:tcPr>
            <w:tcW w:w="1860" w:type="dxa"/>
            <w:vMerge w:val="restart"/>
            <w:tcBorders>
              <w:top w:val="single" w:sz="12" w:space="0" w:color="auto"/>
              <w:left w:val="single" w:sz="12" w:space="0" w:color="auto"/>
              <w:bottom w:val="single" w:sz="12" w:space="0" w:color="auto"/>
              <w:right w:val="single" w:sz="12" w:space="0" w:color="auto"/>
            </w:tcBorders>
            <w:shd w:val="clear" w:color="000000" w:fill="FAE2D5"/>
            <w:vAlign w:val="center"/>
            <w:hideMark/>
          </w:tcPr>
          <w:p w14:paraId="20962B0A" w14:textId="77777777" w:rsidR="006556FE" w:rsidRPr="006556FE" w:rsidRDefault="006556FE" w:rsidP="006556FE">
            <w:pPr>
              <w:spacing w:after="0" w:line="240" w:lineRule="auto"/>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Toplam Konteyner</w:t>
            </w:r>
          </w:p>
        </w:tc>
        <w:tc>
          <w:tcPr>
            <w:tcW w:w="13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FDDD20" w14:textId="77777777" w:rsidR="006556FE" w:rsidRPr="006556FE" w:rsidRDefault="006556FE" w:rsidP="006556FE">
            <w:pPr>
              <w:spacing w:after="0" w:line="240" w:lineRule="auto"/>
              <w:jc w:val="center"/>
              <w:rPr>
                <w:rFonts w:ascii="Aptos" w:eastAsia="Times New Roman" w:hAnsi="Aptos" w:cs="Times New Roman"/>
                <w:color w:val="000000"/>
                <w:sz w:val="22"/>
                <w:szCs w:val="22"/>
                <w:lang w:eastAsia="tr-TR"/>
              </w:rPr>
            </w:pPr>
            <w:r w:rsidRPr="006556FE">
              <w:rPr>
                <w:rFonts w:ascii="Aptos" w:eastAsia="Times New Roman" w:hAnsi="Aptos" w:cs="Arial"/>
                <w:color w:val="000000"/>
                <w:sz w:val="22"/>
                <w:szCs w:val="22"/>
                <w:lang w:eastAsia="tr-TR"/>
              </w:rPr>
              <w:t>13,5</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18DAD6"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Kötümser</w:t>
            </w:r>
          </w:p>
        </w:tc>
        <w:tc>
          <w:tcPr>
            <w:tcW w:w="17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8FFEC8" w14:textId="77777777" w:rsidR="006556FE" w:rsidRPr="006556FE" w:rsidRDefault="006556FE" w:rsidP="006556FE">
            <w:pPr>
              <w:spacing w:after="0" w:line="240" w:lineRule="auto"/>
              <w:jc w:val="center"/>
              <w:rPr>
                <w:rFonts w:ascii="Calibri" w:eastAsia="Times New Roman" w:hAnsi="Calibri" w:cs="Calibri"/>
                <w:color w:val="000000"/>
                <w:sz w:val="22"/>
                <w:szCs w:val="22"/>
                <w:lang w:eastAsia="tr-TR"/>
              </w:rPr>
            </w:pPr>
            <w:r w:rsidRPr="006556FE">
              <w:rPr>
                <w:rFonts w:ascii="Calibri" w:eastAsia="Times New Roman" w:hAnsi="Calibri" w:cs="Calibri"/>
                <w:color w:val="000000"/>
                <w:sz w:val="22"/>
                <w:szCs w:val="22"/>
                <w:lang w:eastAsia="tr-TR"/>
              </w:rPr>
              <w:t>13,9</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2E43F4"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0,4</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F1C6DF"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2,96%</w:t>
            </w:r>
          </w:p>
        </w:tc>
      </w:tr>
      <w:tr w:rsidR="00765497" w:rsidRPr="006556FE" w14:paraId="13653C68" w14:textId="77777777" w:rsidTr="00765497">
        <w:trPr>
          <w:trHeight w:val="310"/>
        </w:trPr>
        <w:tc>
          <w:tcPr>
            <w:tcW w:w="1860" w:type="dxa"/>
            <w:vMerge/>
            <w:tcBorders>
              <w:top w:val="single" w:sz="12" w:space="0" w:color="auto"/>
              <w:left w:val="single" w:sz="12" w:space="0" w:color="auto"/>
              <w:bottom w:val="single" w:sz="12" w:space="0" w:color="auto"/>
              <w:right w:val="single" w:sz="12" w:space="0" w:color="auto"/>
            </w:tcBorders>
            <w:vAlign w:val="center"/>
            <w:hideMark/>
          </w:tcPr>
          <w:p w14:paraId="56100DBA" w14:textId="77777777" w:rsidR="006556FE" w:rsidRPr="006556FE" w:rsidRDefault="006556FE" w:rsidP="006556FE">
            <w:pPr>
              <w:spacing w:after="0" w:line="240" w:lineRule="auto"/>
              <w:rPr>
                <w:rFonts w:ascii="Calibri" w:eastAsia="Times New Roman" w:hAnsi="Calibri" w:cs="Calibri"/>
                <w:b/>
                <w:bCs/>
                <w:color w:val="000000"/>
                <w:lang w:eastAsia="tr-TR"/>
              </w:rPr>
            </w:pPr>
          </w:p>
        </w:tc>
        <w:tc>
          <w:tcPr>
            <w:tcW w:w="1320" w:type="dxa"/>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40EB6958" w14:textId="77777777" w:rsidR="006556FE" w:rsidRPr="006556FE" w:rsidRDefault="006556FE" w:rsidP="006556FE">
            <w:pPr>
              <w:spacing w:after="0" w:line="240" w:lineRule="auto"/>
              <w:jc w:val="center"/>
              <w:rPr>
                <w:rFonts w:ascii="Aptos" w:eastAsia="Times New Roman" w:hAnsi="Aptos" w:cs="Times New Roman"/>
                <w:b/>
                <w:bCs/>
                <w:color w:val="000000"/>
                <w:sz w:val="22"/>
                <w:szCs w:val="22"/>
                <w:lang w:eastAsia="tr-TR"/>
              </w:rPr>
            </w:pPr>
            <w:r w:rsidRPr="006556FE">
              <w:rPr>
                <w:rFonts w:ascii="Aptos" w:eastAsia="Times New Roman" w:hAnsi="Aptos" w:cs="Arial"/>
                <w:b/>
                <w:bCs/>
                <w:color w:val="000000"/>
                <w:sz w:val="22"/>
                <w:szCs w:val="22"/>
                <w:lang w:eastAsia="tr-TR"/>
              </w:rPr>
              <w:t>13,5</w:t>
            </w:r>
          </w:p>
        </w:tc>
        <w:tc>
          <w:tcPr>
            <w:tcW w:w="1440" w:type="dxa"/>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22352778"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Referans</w:t>
            </w:r>
          </w:p>
        </w:tc>
        <w:tc>
          <w:tcPr>
            <w:tcW w:w="1759" w:type="dxa"/>
            <w:tcBorders>
              <w:top w:val="single" w:sz="12" w:space="0" w:color="auto"/>
              <w:left w:val="single" w:sz="12" w:space="0" w:color="auto"/>
              <w:bottom w:val="single" w:sz="12" w:space="0" w:color="auto"/>
              <w:right w:val="single" w:sz="12" w:space="0" w:color="auto"/>
            </w:tcBorders>
            <w:shd w:val="clear" w:color="000000" w:fill="FAE2D5"/>
            <w:noWrap/>
            <w:vAlign w:val="center"/>
            <w:hideMark/>
          </w:tcPr>
          <w:p w14:paraId="6C37D98B" w14:textId="77777777" w:rsidR="006556FE" w:rsidRPr="006556FE" w:rsidRDefault="006556FE" w:rsidP="006556FE">
            <w:pPr>
              <w:spacing w:after="0" w:line="240" w:lineRule="auto"/>
              <w:jc w:val="center"/>
              <w:rPr>
                <w:rFonts w:ascii="Calibri" w:eastAsia="Times New Roman" w:hAnsi="Calibri" w:cs="Calibri"/>
                <w:b/>
                <w:bCs/>
                <w:color w:val="000000"/>
                <w:sz w:val="22"/>
                <w:szCs w:val="22"/>
                <w:lang w:eastAsia="tr-TR"/>
              </w:rPr>
            </w:pPr>
            <w:r w:rsidRPr="006556FE">
              <w:rPr>
                <w:rFonts w:ascii="Calibri" w:eastAsia="Times New Roman" w:hAnsi="Calibri" w:cs="Calibri"/>
                <w:b/>
                <w:bCs/>
                <w:sz w:val="22"/>
                <w:szCs w:val="22"/>
                <w:lang w:eastAsia="tr-TR"/>
              </w:rPr>
              <w:t>15,8</w:t>
            </w:r>
          </w:p>
        </w:tc>
        <w:tc>
          <w:tcPr>
            <w:tcW w:w="1276"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35A1971E"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2,3</w:t>
            </w:r>
          </w:p>
        </w:tc>
        <w:tc>
          <w:tcPr>
            <w:tcW w:w="1134" w:type="dxa"/>
            <w:tcBorders>
              <w:top w:val="single" w:sz="12" w:space="0" w:color="auto"/>
              <w:left w:val="single" w:sz="12" w:space="0" w:color="auto"/>
              <w:bottom w:val="single" w:sz="12" w:space="0" w:color="auto"/>
              <w:right w:val="single" w:sz="12" w:space="0" w:color="auto"/>
            </w:tcBorders>
            <w:shd w:val="clear" w:color="000000" w:fill="FBE2D5"/>
            <w:noWrap/>
            <w:vAlign w:val="center"/>
            <w:hideMark/>
          </w:tcPr>
          <w:p w14:paraId="132F29DA" w14:textId="77777777" w:rsidR="006556FE" w:rsidRPr="006556FE" w:rsidRDefault="006556FE" w:rsidP="006556FE">
            <w:pPr>
              <w:spacing w:after="0" w:line="240" w:lineRule="auto"/>
              <w:jc w:val="center"/>
              <w:rPr>
                <w:rFonts w:ascii="Calibri" w:eastAsia="Times New Roman" w:hAnsi="Calibri" w:cs="Calibri"/>
                <w:b/>
                <w:bCs/>
                <w:color w:val="000000"/>
                <w:lang w:eastAsia="tr-TR"/>
              </w:rPr>
            </w:pPr>
            <w:r w:rsidRPr="006556FE">
              <w:rPr>
                <w:rFonts w:ascii="Calibri" w:eastAsia="Times New Roman" w:hAnsi="Calibri" w:cs="Calibri"/>
                <w:b/>
                <w:bCs/>
                <w:color w:val="000000"/>
                <w:lang w:eastAsia="tr-TR"/>
              </w:rPr>
              <w:t>17,04%</w:t>
            </w:r>
          </w:p>
        </w:tc>
      </w:tr>
      <w:tr w:rsidR="00765497" w:rsidRPr="006556FE" w14:paraId="7EBD1CE7" w14:textId="77777777" w:rsidTr="00765497">
        <w:trPr>
          <w:trHeight w:val="310"/>
        </w:trPr>
        <w:tc>
          <w:tcPr>
            <w:tcW w:w="1860" w:type="dxa"/>
            <w:vMerge/>
            <w:tcBorders>
              <w:top w:val="single" w:sz="12" w:space="0" w:color="auto"/>
              <w:left w:val="single" w:sz="12" w:space="0" w:color="auto"/>
              <w:bottom w:val="single" w:sz="12" w:space="0" w:color="auto"/>
              <w:right w:val="single" w:sz="12" w:space="0" w:color="auto"/>
            </w:tcBorders>
            <w:vAlign w:val="center"/>
            <w:hideMark/>
          </w:tcPr>
          <w:p w14:paraId="2DCB1BB4" w14:textId="77777777" w:rsidR="006556FE" w:rsidRPr="006556FE" w:rsidRDefault="006556FE" w:rsidP="006556FE">
            <w:pPr>
              <w:spacing w:after="0" w:line="240" w:lineRule="auto"/>
              <w:rPr>
                <w:rFonts w:ascii="Calibri" w:eastAsia="Times New Roman" w:hAnsi="Calibri" w:cs="Calibri"/>
                <w:b/>
                <w:bCs/>
                <w:color w:val="000000"/>
                <w:lang w:eastAsia="tr-TR"/>
              </w:rPr>
            </w:pPr>
          </w:p>
        </w:tc>
        <w:tc>
          <w:tcPr>
            <w:tcW w:w="13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F28B86" w14:textId="77777777" w:rsidR="006556FE" w:rsidRPr="006556FE" w:rsidRDefault="006556FE" w:rsidP="006556FE">
            <w:pPr>
              <w:spacing w:after="0" w:line="240" w:lineRule="auto"/>
              <w:jc w:val="center"/>
              <w:rPr>
                <w:rFonts w:ascii="Aptos" w:eastAsia="Times New Roman" w:hAnsi="Aptos" w:cs="Times New Roman"/>
                <w:color w:val="000000"/>
                <w:sz w:val="22"/>
                <w:szCs w:val="22"/>
                <w:lang w:eastAsia="tr-TR"/>
              </w:rPr>
            </w:pPr>
            <w:r w:rsidRPr="006556FE">
              <w:rPr>
                <w:rFonts w:ascii="Aptos" w:eastAsia="Times New Roman" w:hAnsi="Aptos" w:cs="Arial"/>
                <w:color w:val="000000"/>
                <w:sz w:val="22"/>
                <w:szCs w:val="22"/>
                <w:lang w:eastAsia="tr-TR"/>
              </w:rPr>
              <w:t>13,5</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DF8A4A"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İyimser</w:t>
            </w:r>
          </w:p>
        </w:tc>
        <w:tc>
          <w:tcPr>
            <w:tcW w:w="17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CC92754" w14:textId="77777777" w:rsidR="006556FE" w:rsidRPr="006556FE" w:rsidRDefault="006556FE" w:rsidP="006556FE">
            <w:pPr>
              <w:spacing w:after="0" w:line="240" w:lineRule="auto"/>
              <w:jc w:val="center"/>
              <w:rPr>
                <w:rFonts w:ascii="Calibri" w:eastAsia="Times New Roman" w:hAnsi="Calibri" w:cs="Calibri"/>
                <w:color w:val="000000"/>
                <w:sz w:val="22"/>
                <w:szCs w:val="22"/>
                <w:lang w:eastAsia="tr-TR"/>
              </w:rPr>
            </w:pPr>
            <w:r w:rsidRPr="006556FE">
              <w:rPr>
                <w:rFonts w:ascii="Calibri" w:eastAsia="Times New Roman" w:hAnsi="Calibri" w:cs="Calibri"/>
                <w:color w:val="000000"/>
                <w:sz w:val="22"/>
                <w:szCs w:val="22"/>
                <w:lang w:eastAsia="tr-TR"/>
              </w:rPr>
              <w:t>17,5</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F69176" w14:textId="14DF048B"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4</w:t>
            </w:r>
            <w:r w:rsidR="00683A43">
              <w:rPr>
                <w:rFonts w:ascii="Calibri" w:eastAsia="Times New Roman" w:hAnsi="Calibri" w:cs="Calibri"/>
                <w:color w:val="000000"/>
                <w:lang w:eastAsia="tr-TR"/>
              </w:rPr>
              <w:t>,0</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3754CD" w14:textId="77777777" w:rsidR="006556FE" w:rsidRPr="006556FE" w:rsidRDefault="006556FE" w:rsidP="006556FE">
            <w:pPr>
              <w:spacing w:after="0" w:line="240" w:lineRule="auto"/>
              <w:jc w:val="center"/>
              <w:rPr>
                <w:rFonts w:ascii="Calibri" w:eastAsia="Times New Roman" w:hAnsi="Calibri" w:cs="Calibri"/>
                <w:color w:val="000000"/>
                <w:lang w:eastAsia="tr-TR"/>
              </w:rPr>
            </w:pPr>
            <w:r w:rsidRPr="006556FE">
              <w:rPr>
                <w:rFonts w:ascii="Calibri" w:eastAsia="Times New Roman" w:hAnsi="Calibri" w:cs="Calibri"/>
                <w:color w:val="000000"/>
                <w:lang w:eastAsia="tr-TR"/>
              </w:rPr>
              <w:t>29,63%</w:t>
            </w:r>
          </w:p>
        </w:tc>
      </w:tr>
    </w:tbl>
    <w:p w14:paraId="32F3D6B8" w14:textId="77777777" w:rsidR="006556FE" w:rsidRDefault="006556FE" w:rsidP="002129B7">
      <w:pPr>
        <w:rPr>
          <w:rFonts w:cstheme="minorHAnsi"/>
          <w:b/>
          <w:bCs/>
        </w:rPr>
      </w:pPr>
    </w:p>
    <w:p w14:paraId="27DB983A" w14:textId="77777777" w:rsidR="00AE3B9F" w:rsidRPr="006506E1" w:rsidRDefault="00AE3B9F" w:rsidP="00AE3B9F">
      <w:pPr>
        <w:jc w:val="both"/>
        <w:rPr>
          <w:rFonts w:cstheme="minorHAnsi"/>
          <w:sz w:val="24"/>
          <w:szCs w:val="24"/>
        </w:rPr>
      </w:pPr>
      <w:r w:rsidRPr="008B4005">
        <w:rPr>
          <w:rFonts w:cstheme="minorHAnsi"/>
          <w:b/>
          <w:bCs/>
          <w:sz w:val="24"/>
          <w:szCs w:val="24"/>
        </w:rPr>
        <w:t>“Referans”</w:t>
      </w:r>
      <w:r w:rsidRPr="006506E1">
        <w:rPr>
          <w:rFonts w:cstheme="minorHAnsi"/>
          <w:sz w:val="24"/>
          <w:szCs w:val="24"/>
        </w:rPr>
        <w:t xml:space="preserve"> senaryoyu baz aldığımızda bu senaryonun 2025 yılına ait </w:t>
      </w:r>
      <w:bookmarkStart w:id="3" w:name="_Hlk190123558"/>
      <w:r w:rsidRPr="006506E1">
        <w:rPr>
          <w:rFonts w:cstheme="minorHAnsi"/>
          <w:sz w:val="24"/>
          <w:szCs w:val="24"/>
        </w:rPr>
        <w:t xml:space="preserve">Yerel konteyner miktarı 11,6 milyon TEU, Transit Konteyner miktarı 4,2 milyon TEU ve Toplam Konteyner miktarı da 15,8 milyon TEU </w:t>
      </w:r>
      <w:bookmarkEnd w:id="3"/>
      <w:r w:rsidRPr="006506E1">
        <w:rPr>
          <w:rFonts w:cstheme="minorHAnsi"/>
          <w:sz w:val="24"/>
          <w:szCs w:val="24"/>
        </w:rPr>
        <w:t>öngörülmüştür. 2024 yılında limanlarımızda Yerel konteyner miktarı 10,7 milyon TEU, Transit Konteyner miktarı 2,7 milyon TEU ve Toplam Konteyner miktarı da 13,5 milyon TEU olduğu için limanlarımızın Vizyon 2050 raporunun 2025 yılı için öngörülen yük miktarına ulaşması için 2024 yılındaki elleçleme miktarına göre 2025 yılında;</w:t>
      </w:r>
    </w:p>
    <w:p w14:paraId="2E6BAC35" w14:textId="77777777" w:rsidR="00AE3B9F" w:rsidRPr="00A6628F" w:rsidRDefault="00AE3B9F" w:rsidP="00AE3B9F">
      <w:pPr>
        <w:pStyle w:val="ListeParagraf"/>
        <w:numPr>
          <w:ilvl w:val="0"/>
          <w:numId w:val="4"/>
        </w:numPr>
        <w:jc w:val="both"/>
        <w:rPr>
          <w:rFonts w:cstheme="minorHAnsi"/>
          <w:sz w:val="24"/>
          <w:szCs w:val="24"/>
        </w:rPr>
      </w:pPr>
      <w:r w:rsidRPr="00A6628F">
        <w:rPr>
          <w:rFonts w:cstheme="minorHAnsi"/>
          <w:sz w:val="24"/>
          <w:szCs w:val="24"/>
        </w:rPr>
        <w:t xml:space="preserve">Yerel Konteyner miktarında </w:t>
      </w:r>
      <w:bookmarkStart w:id="4" w:name="_Hlk190123740"/>
      <w:r w:rsidRPr="00A6628F">
        <w:rPr>
          <w:rFonts w:cstheme="minorHAnsi"/>
          <w:sz w:val="24"/>
          <w:szCs w:val="24"/>
        </w:rPr>
        <w:t xml:space="preserve">%8,41 oranında büyüyerek </w:t>
      </w:r>
      <w:bookmarkEnd w:id="4"/>
      <w:r>
        <w:rPr>
          <w:rFonts w:cstheme="minorHAnsi"/>
          <w:sz w:val="24"/>
          <w:szCs w:val="24"/>
        </w:rPr>
        <w:t xml:space="preserve">ve </w:t>
      </w:r>
      <w:r w:rsidRPr="00A6628F">
        <w:rPr>
          <w:rFonts w:cstheme="minorHAnsi"/>
          <w:sz w:val="24"/>
          <w:szCs w:val="24"/>
        </w:rPr>
        <w:t>0,9 milyon TEU</w:t>
      </w:r>
      <w:r>
        <w:rPr>
          <w:rFonts w:cstheme="minorHAnsi"/>
          <w:sz w:val="24"/>
          <w:szCs w:val="24"/>
        </w:rPr>
        <w:t xml:space="preserve"> ilave konteyner elleçleyerek 11,6 milyon TEU</w:t>
      </w:r>
      <w:r w:rsidRPr="00A6628F">
        <w:rPr>
          <w:rFonts w:cstheme="minorHAnsi"/>
          <w:sz w:val="24"/>
          <w:szCs w:val="24"/>
        </w:rPr>
        <w:t>’ya ulaşması,</w:t>
      </w:r>
    </w:p>
    <w:p w14:paraId="73BA3D80" w14:textId="77777777" w:rsidR="00AE3B9F" w:rsidRPr="00A6628F" w:rsidRDefault="00AE3B9F" w:rsidP="00AE3B9F">
      <w:pPr>
        <w:pStyle w:val="ListeParagraf"/>
        <w:numPr>
          <w:ilvl w:val="0"/>
          <w:numId w:val="4"/>
        </w:numPr>
        <w:jc w:val="both"/>
        <w:rPr>
          <w:rFonts w:cstheme="minorHAnsi"/>
          <w:sz w:val="24"/>
          <w:szCs w:val="24"/>
        </w:rPr>
      </w:pPr>
      <w:r w:rsidRPr="00A6628F">
        <w:rPr>
          <w:rFonts w:cstheme="minorHAnsi"/>
          <w:sz w:val="24"/>
          <w:szCs w:val="24"/>
        </w:rPr>
        <w:t xml:space="preserve">Transit Konteyner miktarında %55,56 oranında büyüyerek </w:t>
      </w:r>
      <w:r>
        <w:rPr>
          <w:rFonts w:cstheme="minorHAnsi"/>
          <w:sz w:val="24"/>
          <w:szCs w:val="24"/>
        </w:rPr>
        <w:t xml:space="preserve">ve </w:t>
      </w:r>
      <w:r w:rsidRPr="00A6628F">
        <w:rPr>
          <w:rFonts w:cstheme="minorHAnsi"/>
          <w:sz w:val="24"/>
          <w:szCs w:val="24"/>
        </w:rPr>
        <w:t>1,5 milyon TEU</w:t>
      </w:r>
      <w:r>
        <w:rPr>
          <w:rFonts w:cstheme="minorHAnsi"/>
          <w:sz w:val="24"/>
          <w:szCs w:val="24"/>
        </w:rPr>
        <w:t xml:space="preserve"> ilave konteyner elleçleyerek 4,2 milyon TEU</w:t>
      </w:r>
      <w:r w:rsidRPr="00A6628F">
        <w:rPr>
          <w:rFonts w:cstheme="minorHAnsi"/>
          <w:sz w:val="24"/>
          <w:szCs w:val="24"/>
        </w:rPr>
        <w:t>’ya ulaşması,</w:t>
      </w:r>
    </w:p>
    <w:p w14:paraId="4AD645F2" w14:textId="77777777" w:rsidR="00AE3B9F" w:rsidRPr="00A6628F" w:rsidRDefault="00AE3B9F" w:rsidP="00AE3B9F">
      <w:pPr>
        <w:pStyle w:val="ListeParagraf"/>
        <w:numPr>
          <w:ilvl w:val="0"/>
          <w:numId w:val="4"/>
        </w:numPr>
        <w:jc w:val="both"/>
        <w:rPr>
          <w:rFonts w:cstheme="minorHAnsi"/>
          <w:sz w:val="24"/>
          <w:szCs w:val="24"/>
        </w:rPr>
      </w:pPr>
      <w:r w:rsidRPr="00A6628F">
        <w:rPr>
          <w:rFonts w:cstheme="minorHAnsi"/>
          <w:sz w:val="24"/>
          <w:szCs w:val="24"/>
        </w:rPr>
        <w:t xml:space="preserve">Toplam Konteyner miktarında ise %17,04 oranında büyüyerek </w:t>
      </w:r>
      <w:r>
        <w:rPr>
          <w:rFonts w:cstheme="minorHAnsi"/>
          <w:sz w:val="24"/>
          <w:szCs w:val="24"/>
        </w:rPr>
        <w:t xml:space="preserve">ve </w:t>
      </w:r>
      <w:r w:rsidRPr="00A6628F">
        <w:rPr>
          <w:rFonts w:cstheme="minorHAnsi"/>
          <w:sz w:val="24"/>
          <w:szCs w:val="24"/>
        </w:rPr>
        <w:t>2,3 milyon TEU</w:t>
      </w:r>
      <w:r>
        <w:rPr>
          <w:rFonts w:cstheme="minorHAnsi"/>
          <w:sz w:val="24"/>
          <w:szCs w:val="24"/>
        </w:rPr>
        <w:t xml:space="preserve"> ilave konteyner elleçleyerek 15,8 milyon TEU’ya </w:t>
      </w:r>
      <w:r w:rsidRPr="00A6628F">
        <w:rPr>
          <w:rFonts w:cstheme="minorHAnsi"/>
          <w:sz w:val="24"/>
          <w:szCs w:val="24"/>
        </w:rPr>
        <w:t xml:space="preserve">ulaşması gerekecektir. </w:t>
      </w:r>
    </w:p>
    <w:p w14:paraId="4B126D59" w14:textId="33FBA27C" w:rsidR="00E06C47" w:rsidRPr="006506E1" w:rsidRDefault="00A926EB" w:rsidP="00933410">
      <w:pPr>
        <w:jc w:val="both"/>
        <w:rPr>
          <w:rFonts w:cstheme="minorHAnsi"/>
          <w:sz w:val="24"/>
          <w:szCs w:val="24"/>
        </w:rPr>
      </w:pPr>
      <w:r w:rsidRPr="006506E1">
        <w:rPr>
          <w:rFonts w:cstheme="minorHAnsi"/>
          <w:sz w:val="24"/>
          <w:szCs w:val="24"/>
        </w:rPr>
        <w:t>Aşağıdaki Tablo-</w:t>
      </w:r>
      <w:r w:rsidR="00CA70A1" w:rsidRPr="006506E1">
        <w:rPr>
          <w:rFonts w:cstheme="minorHAnsi"/>
          <w:sz w:val="24"/>
          <w:szCs w:val="24"/>
        </w:rPr>
        <w:t>1</w:t>
      </w:r>
      <w:r w:rsidR="00E06C47">
        <w:rPr>
          <w:rFonts w:cstheme="minorHAnsi"/>
          <w:sz w:val="24"/>
          <w:szCs w:val="24"/>
        </w:rPr>
        <w:t>8</w:t>
      </w:r>
      <w:r w:rsidR="00A54828" w:rsidRPr="006506E1">
        <w:rPr>
          <w:rFonts w:cstheme="minorHAnsi"/>
          <w:sz w:val="24"/>
          <w:szCs w:val="24"/>
        </w:rPr>
        <w:t xml:space="preserve"> ve Tablo1</w:t>
      </w:r>
      <w:r w:rsidR="00E06C47">
        <w:rPr>
          <w:rFonts w:cstheme="minorHAnsi"/>
          <w:sz w:val="24"/>
          <w:szCs w:val="24"/>
        </w:rPr>
        <w:t>9</w:t>
      </w:r>
      <w:r w:rsidR="00A54828" w:rsidRPr="006506E1">
        <w:rPr>
          <w:rFonts w:cstheme="minorHAnsi"/>
          <w:sz w:val="24"/>
          <w:szCs w:val="24"/>
        </w:rPr>
        <w:t>’d</w:t>
      </w:r>
      <w:r w:rsidR="00E06C47">
        <w:rPr>
          <w:rFonts w:cstheme="minorHAnsi"/>
          <w:sz w:val="24"/>
          <w:szCs w:val="24"/>
        </w:rPr>
        <w:t>a</w:t>
      </w:r>
      <w:r w:rsidR="00A54828" w:rsidRPr="006506E1">
        <w:rPr>
          <w:rFonts w:cstheme="minorHAnsi"/>
          <w:sz w:val="24"/>
          <w:szCs w:val="24"/>
        </w:rPr>
        <w:t xml:space="preserve"> </w:t>
      </w:r>
      <w:r w:rsidRPr="006506E1">
        <w:rPr>
          <w:rFonts w:cstheme="minorHAnsi"/>
          <w:sz w:val="24"/>
          <w:szCs w:val="24"/>
        </w:rPr>
        <w:t xml:space="preserve">2025 yılının Ocak ayında limanlarımızda gerçekleşen </w:t>
      </w:r>
      <w:r w:rsidR="00E971B0" w:rsidRPr="006506E1">
        <w:rPr>
          <w:rFonts w:cstheme="minorHAnsi"/>
          <w:sz w:val="24"/>
          <w:szCs w:val="24"/>
        </w:rPr>
        <w:t xml:space="preserve">Konteyner </w:t>
      </w:r>
      <w:r w:rsidRPr="006506E1">
        <w:rPr>
          <w:rFonts w:cstheme="minorHAnsi"/>
          <w:sz w:val="24"/>
          <w:szCs w:val="24"/>
        </w:rPr>
        <w:t xml:space="preserve">miktarları yer almaktadır. </w:t>
      </w:r>
    </w:p>
    <w:p w14:paraId="2203828E" w14:textId="5072EA0C" w:rsidR="00724069" w:rsidRPr="00E06C47" w:rsidRDefault="00724069" w:rsidP="00724069">
      <w:pPr>
        <w:jc w:val="center"/>
        <w:rPr>
          <w:rFonts w:cstheme="minorHAnsi"/>
          <w:b/>
          <w:bCs/>
          <w:sz w:val="22"/>
          <w:szCs w:val="22"/>
        </w:rPr>
      </w:pPr>
      <w:r w:rsidRPr="00E06C47">
        <w:rPr>
          <w:rFonts w:cstheme="minorHAnsi"/>
          <w:b/>
          <w:bCs/>
          <w:sz w:val="22"/>
          <w:szCs w:val="22"/>
          <w:u w:val="single"/>
        </w:rPr>
        <w:t>Tablo-</w:t>
      </w:r>
      <w:r w:rsidR="00A54828" w:rsidRPr="00E06C47">
        <w:rPr>
          <w:rFonts w:cstheme="minorHAnsi"/>
          <w:b/>
          <w:bCs/>
          <w:sz w:val="22"/>
          <w:szCs w:val="22"/>
          <w:u w:val="single"/>
        </w:rPr>
        <w:t>1</w:t>
      </w:r>
      <w:r w:rsidR="00E06C47" w:rsidRPr="00E06C47">
        <w:rPr>
          <w:rFonts w:cstheme="minorHAnsi"/>
          <w:b/>
          <w:bCs/>
          <w:sz w:val="22"/>
          <w:szCs w:val="22"/>
          <w:u w:val="single"/>
        </w:rPr>
        <w:t>8</w:t>
      </w:r>
      <w:r w:rsidRPr="00E06C47">
        <w:rPr>
          <w:rFonts w:cstheme="minorHAnsi"/>
          <w:b/>
          <w:bCs/>
          <w:sz w:val="22"/>
          <w:szCs w:val="22"/>
          <w:u w:val="single"/>
        </w:rPr>
        <w:t>:</w:t>
      </w:r>
      <w:r w:rsidRPr="00E06C47">
        <w:rPr>
          <w:rFonts w:cstheme="minorHAnsi"/>
          <w:sz w:val="22"/>
          <w:szCs w:val="22"/>
        </w:rPr>
        <w:t xml:space="preserve"> </w:t>
      </w:r>
      <w:r w:rsidRPr="00E06C47">
        <w:rPr>
          <w:rFonts w:cstheme="minorHAnsi"/>
          <w:b/>
          <w:bCs/>
          <w:sz w:val="22"/>
          <w:szCs w:val="22"/>
        </w:rPr>
        <w:t>Gümrük Rejimlerine Göre Konteynerde Tonaj Değişimi (2024-2025)</w:t>
      </w:r>
    </w:p>
    <w:tbl>
      <w:tblPr>
        <w:tblW w:w="76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561"/>
        <w:gridCol w:w="1260"/>
        <w:gridCol w:w="1260"/>
        <w:gridCol w:w="1140"/>
        <w:gridCol w:w="1140"/>
        <w:gridCol w:w="1260"/>
      </w:tblGrid>
      <w:tr w:rsidR="00664146" w:rsidRPr="00664146" w14:paraId="46779EBF" w14:textId="77777777" w:rsidTr="00664146">
        <w:trPr>
          <w:trHeight w:val="285"/>
          <w:jc w:val="center"/>
        </w:trPr>
        <w:tc>
          <w:tcPr>
            <w:tcW w:w="1561" w:type="dxa"/>
            <w:shd w:val="clear" w:color="000000" w:fill="F8CBAD"/>
            <w:noWrap/>
            <w:vAlign w:val="center"/>
            <w:hideMark/>
          </w:tcPr>
          <w:p w14:paraId="52B426B8"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Ocak</w:t>
            </w:r>
          </w:p>
        </w:tc>
        <w:tc>
          <w:tcPr>
            <w:tcW w:w="1260" w:type="dxa"/>
            <w:shd w:val="clear" w:color="000000" w:fill="FFFF00"/>
            <w:noWrap/>
            <w:vAlign w:val="bottom"/>
            <w:hideMark/>
          </w:tcPr>
          <w:p w14:paraId="643E32E3"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İhracat</w:t>
            </w:r>
          </w:p>
        </w:tc>
        <w:tc>
          <w:tcPr>
            <w:tcW w:w="1260" w:type="dxa"/>
            <w:shd w:val="clear" w:color="000000" w:fill="FFFF00"/>
            <w:noWrap/>
            <w:vAlign w:val="bottom"/>
            <w:hideMark/>
          </w:tcPr>
          <w:p w14:paraId="41332AB2"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İthalat</w:t>
            </w:r>
          </w:p>
        </w:tc>
        <w:tc>
          <w:tcPr>
            <w:tcW w:w="1140" w:type="dxa"/>
            <w:shd w:val="clear" w:color="000000" w:fill="FFFF00"/>
            <w:noWrap/>
            <w:vAlign w:val="bottom"/>
            <w:hideMark/>
          </w:tcPr>
          <w:p w14:paraId="62F9CEA5"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Kabotaj</w:t>
            </w:r>
          </w:p>
        </w:tc>
        <w:tc>
          <w:tcPr>
            <w:tcW w:w="1140" w:type="dxa"/>
            <w:shd w:val="clear" w:color="000000" w:fill="FFFF00"/>
            <w:noWrap/>
            <w:vAlign w:val="bottom"/>
            <w:hideMark/>
          </w:tcPr>
          <w:p w14:paraId="247983EF"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Transit</w:t>
            </w:r>
          </w:p>
        </w:tc>
        <w:tc>
          <w:tcPr>
            <w:tcW w:w="1260" w:type="dxa"/>
            <w:shd w:val="clear" w:color="000000" w:fill="FFFF00"/>
            <w:noWrap/>
            <w:vAlign w:val="bottom"/>
            <w:hideMark/>
          </w:tcPr>
          <w:p w14:paraId="64C72231"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Toplam</w:t>
            </w:r>
          </w:p>
        </w:tc>
      </w:tr>
      <w:tr w:rsidR="00664146" w:rsidRPr="00664146" w14:paraId="60739440" w14:textId="77777777" w:rsidTr="00664146">
        <w:trPr>
          <w:trHeight w:val="285"/>
          <w:jc w:val="center"/>
        </w:trPr>
        <w:tc>
          <w:tcPr>
            <w:tcW w:w="1561" w:type="dxa"/>
            <w:shd w:val="clear" w:color="auto" w:fill="auto"/>
            <w:noWrap/>
            <w:vAlign w:val="center"/>
            <w:hideMark/>
          </w:tcPr>
          <w:p w14:paraId="7611E345"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2024</w:t>
            </w:r>
          </w:p>
        </w:tc>
        <w:tc>
          <w:tcPr>
            <w:tcW w:w="1260" w:type="dxa"/>
            <w:shd w:val="clear" w:color="auto" w:fill="auto"/>
            <w:noWrap/>
            <w:vAlign w:val="bottom"/>
            <w:hideMark/>
          </w:tcPr>
          <w:p w14:paraId="2748BEC3"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392.622</w:t>
            </w:r>
          </w:p>
        </w:tc>
        <w:tc>
          <w:tcPr>
            <w:tcW w:w="1260" w:type="dxa"/>
            <w:shd w:val="clear" w:color="auto" w:fill="auto"/>
            <w:noWrap/>
            <w:vAlign w:val="bottom"/>
            <w:hideMark/>
          </w:tcPr>
          <w:p w14:paraId="2CCAF983"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369.322</w:t>
            </w:r>
          </w:p>
        </w:tc>
        <w:tc>
          <w:tcPr>
            <w:tcW w:w="1140" w:type="dxa"/>
            <w:shd w:val="clear" w:color="auto" w:fill="auto"/>
            <w:noWrap/>
            <w:vAlign w:val="bottom"/>
            <w:hideMark/>
          </w:tcPr>
          <w:p w14:paraId="01D2D2B0"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61.590</w:t>
            </w:r>
          </w:p>
        </w:tc>
        <w:tc>
          <w:tcPr>
            <w:tcW w:w="1140" w:type="dxa"/>
            <w:shd w:val="clear" w:color="auto" w:fill="auto"/>
            <w:noWrap/>
            <w:vAlign w:val="bottom"/>
            <w:hideMark/>
          </w:tcPr>
          <w:p w14:paraId="0FE950FA"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190.228</w:t>
            </w:r>
          </w:p>
        </w:tc>
        <w:tc>
          <w:tcPr>
            <w:tcW w:w="1260" w:type="dxa"/>
            <w:shd w:val="clear" w:color="auto" w:fill="auto"/>
            <w:noWrap/>
            <w:vAlign w:val="bottom"/>
            <w:hideMark/>
          </w:tcPr>
          <w:p w14:paraId="04D452A7"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1.013.762</w:t>
            </w:r>
          </w:p>
        </w:tc>
      </w:tr>
      <w:tr w:rsidR="00664146" w:rsidRPr="00664146" w14:paraId="72DE89C7" w14:textId="77777777" w:rsidTr="00664146">
        <w:trPr>
          <w:trHeight w:val="285"/>
          <w:jc w:val="center"/>
        </w:trPr>
        <w:tc>
          <w:tcPr>
            <w:tcW w:w="1561" w:type="dxa"/>
            <w:shd w:val="clear" w:color="auto" w:fill="auto"/>
            <w:noWrap/>
            <w:vAlign w:val="center"/>
            <w:hideMark/>
          </w:tcPr>
          <w:p w14:paraId="4D0B554F"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2025</w:t>
            </w:r>
          </w:p>
        </w:tc>
        <w:tc>
          <w:tcPr>
            <w:tcW w:w="1260" w:type="dxa"/>
            <w:shd w:val="clear" w:color="auto" w:fill="auto"/>
            <w:noWrap/>
            <w:vAlign w:val="bottom"/>
            <w:hideMark/>
          </w:tcPr>
          <w:p w14:paraId="46D48D6B"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417.498</w:t>
            </w:r>
          </w:p>
        </w:tc>
        <w:tc>
          <w:tcPr>
            <w:tcW w:w="1260" w:type="dxa"/>
            <w:shd w:val="clear" w:color="auto" w:fill="auto"/>
            <w:noWrap/>
            <w:vAlign w:val="bottom"/>
            <w:hideMark/>
          </w:tcPr>
          <w:p w14:paraId="634213EA"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422.525</w:t>
            </w:r>
          </w:p>
        </w:tc>
        <w:tc>
          <w:tcPr>
            <w:tcW w:w="1140" w:type="dxa"/>
            <w:shd w:val="clear" w:color="auto" w:fill="auto"/>
            <w:noWrap/>
            <w:vAlign w:val="bottom"/>
            <w:hideMark/>
          </w:tcPr>
          <w:p w14:paraId="7902F43C"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87.115</w:t>
            </w:r>
          </w:p>
        </w:tc>
        <w:tc>
          <w:tcPr>
            <w:tcW w:w="1140" w:type="dxa"/>
            <w:shd w:val="clear" w:color="auto" w:fill="auto"/>
            <w:noWrap/>
            <w:vAlign w:val="bottom"/>
            <w:hideMark/>
          </w:tcPr>
          <w:p w14:paraId="0160A826"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228.377</w:t>
            </w:r>
          </w:p>
        </w:tc>
        <w:tc>
          <w:tcPr>
            <w:tcW w:w="1260" w:type="dxa"/>
            <w:shd w:val="clear" w:color="auto" w:fill="auto"/>
            <w:noWrap/>
            <w:vAlign w:val="bottom"/>
            <w:hideMark/>
          </w:tcPr>
          <w:p w14:paraId="741F6124"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1.155.515</w:t>
            </w:r>
          </w:p>
        </w:tc>
      </w:tr>
      <w:tr w:rsidR="00664146" w:rsidRPr="00664146" w14:paraId="1823AE27" w14:textId="77777777" w:rsidTr="00664146">
        <w:trPr>
          <w:trHeight w:val="285"/>
          <w:jc w:val="center"/>
        </w:trPr>
        <w:tc>
          <w:tcPr>
            <w:tcW w:w="1561" w:type="dxa"/>
            <w:shd w:val="clear" w:color="auto" w:fill="auto"/>
            <w:noWrap/>
            <w:vAlign w:val="center"/>
            <w:hideMark/>
          </w:tcPr>
          <w:p w14:paraId="5E588BA8"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Farklar</w:t>
            </w:r>
          </w:p>
        </w:tc>
        <w:tc>
          <w:tcPr>
            <w:tcW w:w="1260" w:type="dxa"/>
            <w:shd w:val="clear" w:color="auto" w:fill="auto"/>
            <w:noWrap/>
            <w:vAlign w:val="bottom"/>
            <w:hideMark/>
          </w:tcPr>
          <w:p w14:paraId="05F28952"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24.876</w:t>
            </w:r>
          </w:p>
        </w:tc>
        <w:tc>
          <w:tcPr>
            <w:tcW w:w="1260" w:type="dxa"/>
            <w:shd w:val="clear" w:color="auto" w:fill="auto"/>
            <w:noWrap/>
            <w:vAlign w:val="bottom"/>
            <w:hideMark/>
          </w:tcPr>
          <w:p w14:paraId="448AC7BC"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53.203</w:t>
            </w:r>
          </w:p>
        </w:tc>
        <w:tc>
          <w:tcPr>
            <w:tcW w:w="1140" w:type="dxa"/>
            <w:shd w:val="clear" w:color="auto" w:fill="auto"/>
            <w:noWrap/>
            <w:vAlign w:val="bottom"/>
            <w:hideMark/>
          </w:tcPr>
          <w:p w14:paraId="1B1D52F0"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25.525</w:t>
            </w:r>
          </w:p>
        </w:tc>
        <w:tc>
          <w:tcPr>
            <w:tcW w:w="1140" w:type="dxa"/>
            <w:shd w:val="clear" w:color="auto" w:fill="auto"/>
            <w:noWrap/>
            <w:vAlign w:val="bottom"/>
            <w:hideMark/>
          </w:tcPr>
          <w:p w14:paraId="4F037A48"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38.149</w:t>
            </w:r>
          </w:p>
        </w:tc>
        <w:tc>
          <w:tcPr>
            <w:tcW w:w="1260" w:type="dxa"/>
            <w:shd w:val="clear" w:color="auto" w:fill="auto"/>
            <w:noWrap/>
            <w:vAlign w:val="bottom"/>
            <w:hideMark/>
          </w:tcPr>
          <w:p w14:paraId="537705BB"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141.753</w:t>
            </w:r>
          </w:p>
        </w:tc>
      </w:tr>
      <w:tr w:rsidR="00A54828" w:rsidRPr="00664146" w14:paraId="2E46237E" w14:textId="77777777" w:rsidTr="00A54828">
        <w:trPr>
          <w:trHeight w:val="285"/>
          <w:jc w:val="center"/>
        </w:trPr>
        <w:tc>
          <w:tcPr>
            <w:tcW w:w="1561" w:type="dxa"/>
            <w:shd w:val="clear" w:color="auto" w:fill="FAE2D5" w:themeFill="accent2" w:themeFillTint="33"/>
            <w:noWrap/>
            <w:vAlign w:val="center"/>
            <w:hideMark/>
          </w:tcPr>
          <w:p w14:paraId="2BDCD221" w14:textId="77777777" w:rsidR="00664146" w:rsidRPr="00664146" w:rsidRDefault="00664146" w:rsidP="00664146">
            <w:pPr>
              <w:spacing w:after="0" w:line="240" w:lineRule="auto"/>
              <w:jc w:val="center"/>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Büyüme Oranı</w:t>
            </w:r>
          </w:p>
        </w:tc>
        <w:tc>
          <w:tcPr>
            <w:tcW w:w="1260" w:type="dxa"/>
            <w:shd w:val="clear" w:color="auto" w:fill="FAE2D5" w:themeFill="accent2" w:themeFillTint="33"/>
            <w:noWrap/>
            <w:vAlign w:val="bottom"/>
            <w:hideMark/>
          </w:tcPr>
          <w:p w14:paraId="51760C29"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6,34%</w:t>
            </w:r>
          </w:p>
        </w:tc>
        <w:tc>
          <w:tcPr>
            <w:tcW w:w="1260" w:type="dxa"/>
            <w:shd w:val="clear" w:color="auto" w:fill="FAE2D5" w:themeFill="accent2" w:themeFillTint="33"/>
            <w:noWrap/>
            <w:vAlign w:val="bottom"/>
            <w:hideMark/>
          </w:tcPr>
          <w:p w14:paraId="38BD685F"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14,41%</w:t>
            </w:r>
          </w:p>
        </w:tc>
        <w:tc>
          <w:tcPr>
            <w:tcW w:w="1140" w:type="dxa"/>
            <w:shd w:val="clear" w:color="auto" w:fill="FAE2D5" w:themeFill="accent2" w:themeFillTint="33"/>
            <w:noWrap/>
            <w:vAlign w:val="bottom"/>
            <w:hideMark/>
          </w:tcPr>
          <w:p w14:paraId="5559D86E"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41,44%</w:t>
            </w:r>
          </w:p>
        </w:tc>
        <w:tc>
          <w:tcPr>
            <w:tcW w:w="1140" w:type="dxa"/>
            <w:shd w:val="clear" w:color="auto" w:fill="FAE2D5" w:themeFill="accent2" w:themeFillTint="33"/>
            <w:noWrap/>
            <w:vAlign w:val="bottom"/>
            <w:hideMark/>
          </w:tcPr>
          <w:p w14:paraId="72D0DE95"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20,05%</w:t>
            </w:r>
          </w:p>
        </w:tc>
        <w:tc>
          <w:tcPr>
            <w:tcW w:w="1260" w:type="dxa"/>
            <w:shd w:val="clear" w:color="auto" w:fill="FAE2D5" w:themeFill="accent2" w:themeFillTint="33"/>
            <w:noWrap/>
            <w:vAlign w:val="bottom"/>
            <w:hideMark/>
          </w:tcPr>
          <w:p w14:paraId="51F7E62D" w14:textId="77777777" w:rsidR="00664146" w:rsidRPr="00664146" w:rsidRDefault="00664146" w:rsidP="00724069">
            <w:pPr>
              <w:spacing w:after="0" w:line="240" w:lineRule="auto"/>
              <w:jc w:val="right"/>
              <w:rPr>
                <w:rFonts w:ascii="Calibri" w:eastAsia="Times New Roman" w:hAnsi="Calibri" w:cs="Calibri"/>
                <w:b/>
                <w:bCs/>
                <w:color w:val="000000"/>
                <w:sz w:val="22"/>
                <w:szCs w:val="22"/>
                <w:lang w:eastAsia="tr-TR"/>
              </w:rPr>
            </w:pPr>
            <w:r w:rsidRPr="00664146">
              <w:rPr>
                <w:rFonts w:ascii="Calibri" w:eastAsia="Times New Roman" w:hAnsi="Calibri" w:cs="Calibri"/>
                <w:b/>
                <w:bCs/>
                <w:color w:val="000000"/>
                <w:sz w:val="22"/>
                <w:szCs w:val="22"/>
                <w:lang w:eastAsia="tr-TR"/>
              </w:rPr>
              <w:t>13,98%</w:t>
            </w:r>
          </w:p>
        </w:tc>
      </w:tr>
    </w:tbl>
    <w:p w14:paraId="26DA1259" w14:textId="77777777" w:rsidR="008E4222" w:rsidRDefault="008E4222" w:rsidP="008E4222">
      <w:pPr>
        <w:jc w:val="both"/>
        <w:rPr>
          <w:rFonts w:cstheme="minorHAnsi"/>
        </w:rPr>
      </w:pPr>
    </w:p>
    <w:p w14:paraId="0A46C002" w14:textId="34A5B701" w:rsidR="00332732" w:rsidRDefault="008E4222" w:rsidP="008E4222">
      <w:pPr>
        <w:jc w:val="both"/>
        <w:rPr>
          <w:rFonts w:cstheme="minorHAnsi"/>
          <w:sz w:val="24"/>
          <w:szCs w:val="24"/>
        </w:rPr>
      </w:pPr>
      <w:r w:rsidRPr="006506E1">
        <w:rPr>
          <w:rFonts w:cstheme="minorHAnsi"/>
          <w:sz w:val="24"/>
          <w:szCs w:val="24"/>
        </w:rPr>
        <w:t xml:space="preserve">Tablo-18’e baktığımızda </w:t>
      </w:r>
      <w:r w:rsidR="00E06C47">
        <w:rPr>
          <w:rFonts w:cstheme="minorHAnsi"/>
          <w:sz w:val="24"/>
          <w:szCs w:val="24"/>
        </w:rPr>
        <w:t>“</w:t>
      </w:r>
      <w:r w:rsidRPr="006506E1">
        <w:rPr>
          <w:rFonts w:cstheme="minorHAnsi"/>
          <w:sz w:val="24"/>
          <w:szCs w:val="24"/>
        </w:rPr>
        <w:t>Vizyon 2050</w:t>
      </w:r>
      <w:r w:rsidR="00E06C47">
        <w:rPr>
          <w:rFonts w:cstheme="minorHAnsi"/>
          <w:sz w:val="24"/>
          <w:szCs w:val="24"/>
        </w:rPr>
        <w:t>”</w:t>
      </w:r>
      <w:r w:rsidRPr="006506E1">
        <w:rPr>
          <w:rFonts w:cstheme="minorHAnsi"/>
          <w:sz w:val="24"/>
          <w:szCs w:val="24"/>
        </w:rPr>
        <w:t xml:space="preserve"> raporunun “Referans” senaryoları baz alınarak yapılan değerlendirmede; Yerel Konteynerde Ocak 2025 ayında gerçekleşen %12,58 büyüme oranı </w:t>
      </w:r>
      <w:r w:rsidR="00332732">
        <w:rPr>
          <w:rFonts w:cstheme="minorHAnsi"/>
          <w:sz w:val="24"/>
          <w:szCs w:val="24"/>
        </w:rPr>
        <w:t>“</w:t>
      </w:r>
      <w:r w:rsidRPr="006506E1">
        <w:rPr>
          <w:rFonts w:cstheme="minorHAnsi"/>
          <w:sz w:val="24"/>
          <w:szCs w:val="24"/>
        </w:rPr>
        <w:t>Vizyon 2050</w:t>
      </w:r>
      <w:r w:rsidR="00332732">
        <w:rPr>
          <w:rFonts w:cstheme="minorHAnsi"/>
          <w:sz w:val="24"/>
          <w:szCs w:val="24"/>
        </w:rPr>
        <w:t>”</w:t>
      </w:r>
      <w:r w:rsidRPr="006506E1">
        <w:rPr>
          <w:rFonts w:cstheme="minorHAnsi"/>
          <w:sz w:val="24"/>
          <w:szCs w:val="24"/>
        </w:rPr>
        <w:t xml:space="preserve"> tahminlerinin 2025 yılı için öngördüğü Yerel Konteyner miktarını yakalamak açısından hedeflenen %8,41 oranın da üstünde </w:t>
      </w:r>
      <w:r w:rsidR="00332732">
        <w:rPr>
          <w:rFonts w:cstheme="minorHAnsi"/>
          <w:sz w:val="24"/>
          <w:szCs w:val="24"/>
        </w:rPr>
        <w:t xml:space="preserve">ve </w:t>
      </w:r>
      <w:r w:rsidRPr="006506E1">
        <w:rPr>
          <w:rFonts w:cstheme="minorHAnsi"/>
          <w:sz w:val="24"/>
          <w:szCs w:val="24"/>
        </w:rPr>
        <w:t xml:space="preserve">son derece olumludur. Transit Konteynerde Ocak 2025 ayında gerçekleşen %20 büyüme oranı </w:t>
      </w:r>
      <w:r w:rsidR="00332732">
        <w:rPr>
          <w:rFonts w:cstheme="minorHAnsi"/>
          <w:sz w:val="24"/>
          <w:szCs w:val="24"/>
        </w:rPr>
        <w:t>“</w:t>
      </w:r>
      <w:r w:rsidRPr="006506E1">
        <w:rPr>
          <w:rFonts w:cstheme="minorHAnsi"/>
          <w:sz w:val="24"/>
          <w:szCs w:val="24"/>
        </w:rPr>
        <w:t>Vizyon 2050</w:t>
      </w:r>
      <w:r w:rsidR="00332732">
        <w:rPr>
          <w:rFonts w:cstheme="minorHAnsi"/>
          <w:sz w:val="24"/>
          <w:szCs w:val="24"/>
        </w:rPr>
        <w:t>”</w:t>
      </w:r>
      <w:r w:rsidRPr="006506E1">
        <w:rPr>
          <w:rFonts w:cstheme="minorHAnsi"/>
          <w:sz w:val="24"/>
          <w:szCs w:val="24"/>
        </w:rPr>
        <w:t xml:space="preserve"> tahminlerinin 2025 yılı için öngördüğü Transit Konteyner miktarını yakalamak açısından hedeflenen %55,56 oranın çok altında kalmaktadır. </w:t>
      </w:r>
      <w:r w:rsidR="00332732">
        <w:rPr>
          <w:rFonts w:cstheme="minorHAnsi"/>
          <w:sz w:val="24"/>
          <w:szCs w:val="24"/>
        </w:rPr>
        <w:t xml:space="preserve">Bu açıdan Transit Konteynerde henüz limanlarımız “Vizyon 2050” hedeflerinin gerisindedir ama son 4-5 yıldır transit konteynerdeki hızlı artışlar gelecek tahmin rakamlarına ulaşmak adına olumludur. “Vizyon 2050” raporunun daha ileriki yıllardaki tahminlerine </w:t>
      </w:r>
      <w:r w:rsidR="00614D32">
        <w:rPr>
          <w:rFonts w:cstheme="minorHAnsi"/>
          <w:sz w:val="24"/>
          <w:szCs w:val="24"/>
        </w:rPr>
        <w:t>yaklaşmak</w:t>
      </w:r>
      <w:r w:rsidR="00332732">
        <w:rPr>
          <w:rFonts w:cstheme="minorHAnsi"/>
          <w:sz w:val="24"/>
          <w:szCs w:val="24"/>
        </w:rPr>
        <w:t xml:space="preserve"> açıs</w:t>
      </w:r>
      <w:r w:rsidR="00614D32">
        <w:rPr>
          <w:rFonts w:cstheme="minorHAnsi"/>
          <w:sz w:val="24"/>
          <w:szCs w:val="24"/>
        </w:rPr>
        <w:t xml:space="preserve">ından transit konteynerde potansiyel yüksektir. </w:t>
      </w:r>
      <w:r w:rsidR="00332732">
        <w:rPr>
          <w:rFonts w:cstheme="minorHAnsi"/>
          <w:sz w:val="24"/>
          <w:szCs w:val="24"/>
        </w:rPr>
        <w:t xml:space="preserve"> </w:t>
      </w:r>
    </w:p>
    <w:p w14:paraId="068D863F" w14:textId="77777777" w:rsidR="00040373" w:rsidRDefault="00040373" w:rsidP="00A54828">
      <w:pPr>
        <w:jc w:val="center"/>
        <w:rPr>
          <w:rFonts w:cstheme="minorHAnsi"/>
          <w:b/>
          <w:bCs/>
          <w:sz w:val="22"/>
          <w:szCs w:val="22"/>
          <w:u w:val="single"/>
        </w:rPr>
      </w:pPr>
    </w:p>
    <w:p w14:paraId="54639439" w14:textId="77777777" w:rsidR="00040373" w:rsidRDefault="00040373" w:rsidP="00A54828">
      <w:pPr>
        <w:jc w:val="center"/>
        <w:rPr>
          <w:rFonts w:cstheme="minorHAnsi"/>
          <w:b/>
          <w:bCs/>
          <w:sz w:val="22"/>
          <w:szCs w:val="22"/>
          <w:u w:val="single"/>
        </w:rPr>
      </w:pPr>
    </w:p>
    <w:p w14:paraId="7F2ABFEC" w14:textId="7E63C403" w:rsidR="00A54828" w:rsidRPr="00E06C47" w:rsidRDefault="00A54828" w:rsidP="00A54828">
      <w:pPr>
        <w:jc w:val="center"/>
        <w:rPr>
          <w:rFonts w:cstheme="minorHAnsi"/>
          <w:b/>
          <w:bCs/>
          <w:sz w:val="22"/>
          <w:szCs w:val="22"/>
        </w:rPr>
      </w:pPr>
      <w:r w:rsidRPr="00E06C47">
        <w:rPr>
          <w:rFonts w:cstheme="minorHAnsi"/>
          <w:b/>
          <w:bCs/>
          <w:sz w:val="22"/>
          <w:szCs w:val="22"/>
          <w:u w:val="single"/>
        </w:rPr>
        <w:lastRenderedPageBreak/>
        <w:t>Tablo-1</w:t>
      </w:r>
      <w:r w:rsidR="00E06C47" w:rsidRPr="00E06C47">
        <w:rPr>
          <w:rFonts w:cstheme="minorHAnsi"/>
          <w:b/>
          <w:bCs/>
          <w:sz w:val="22"/>
          <w:szCs w:val="22"/>
          <w:u w:val="single"/>
        </w:rPr>
        <w:t>9</w:t>
      </w:r>
      <w:r w:rsidRPr="00E06C47">
        <w:rPr>
          <w:rFonts w:cstheme="minorHAnsi"/>
          <w:b/>
          <w:bCs/>
          <w:sz w:val="22"/>
          <w:szCs w:val="22"/>
          <w:u w:val="single"/>
        </w:rPr>
        <w:t>:</w:t>
      </w:r>
      <w:r w:rsidRPr="00E06C47">
        <w:rPr>
          <w:rFonts w:cstheme="minorHAnsi"/>
          <w:sz w:val="22"/>
          <w:szCs w:val="22"/>
        </w:rPr>
        <w:t xml:space="preserve"> </w:t>
      </w:r>
      <w:r w:rsidRPr="00E06C47">
        <w:rPr>
          <w:rFonts w:cstheme="minorHAnsi"/>
          <w:b/>
          <w:bCs/>
          <w:sz w:val="22"/>
          <w:szCs w:val="22"/>
        </w:rPr>
        <w:t>Yerel, Transit ve Toplam Konteynerde Tonaj Değişimi (Ocak 2024-Ocak 2025)</w:t>
      </w:r>
    </w:p>
    <w:tbl>
      <w:tblPr>
        <w:tblW w:w="82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844"/>
        <w:gridCol w:w="2136"/>
        <w:gridCol w:w="2305"/>
        <w:gridCol w:w="922"/>
      </w:tblGrid>
      <w:tr w:rsidR="00C478A9" w:rsidRPr="00C478A9" w14:paraId="0379E1A9" w14:textId="77777777" w:rsidTr="00332732">
        <w:trPr>
          <w:trHeight w:val="916"/>
          <w:jc w:val="center"/>
        </w:trPr>
        <w:tc>
          <w:tcPr>
            <w:tcW w:w="2844" w:type="dxa"/>
            <w:shd w:val="clear" w:color="000000" w:fill="FFFF00"/>
            <w:vAlign w:val="center"/>
            <w:hideMark/>
          </w:tcPr>
          <w:p w14:paraId="7E7464F8" w14:textId="77777777" w:rsidR="00C478A9" w:rsidRPr="00C478A9" w:rsidRDefault="00C478A9" w:rsidP="00C478A9">
            <w:pPr>
              <w:spacing w:after="0" w:line="240" w:lineRule="auto"/>
              <w:jc w:val="center"/>
              <w:rPr>
                <w:rFonts w:ascii="Aptos" w:eastAsia="Times New Roman" w:hAnsi="Aptos" w:cs="Times New Roman"/>
                <w:b/>
                <w:bCs/>
                <w:color w:val="000000"/>
                <w:lang w:eastAsia="tr-TR"/>
              </w:rPr>
            </w:pPr>
            <w:r w:rsidRPr="00C478A9">
              <w:rPr>
                <w:rFonts w:ascii="Aptos" w:eastAsia="Times New Roman" w:hAnsi="Aptos" w:cstheme="minorHAnsi"/>
                <w:b/>
                <w:bCs/>
                <w:color w:val="000000"/>
                <w:lang w:eastAsia="tr-TR"/>
              </w:rPr>
              <w:t> </w:t>
            </w:r>
          </w:p>
          <w:p w14:paraId="696A4EC7" w14:textId="52527F32" w:rsidR="00C478A9" w:rsidRPr="00C478A9" w:rsidRDefault="00C478A9" w:rsidP="00C478A9">
            <w:pPr>
              <w:spacing w:after="0" w:line="240" w:lineRule="auto"/>
              <w:jc w:val="center"/>
              <w:rPr>
                <w:rFonts w:ascii="Aptos" w:eastAsia="Times New Roman" w:hAnsi="Aptos" w:cs="Times New Roman"/>
                <w:b/>
                <w:bCs/>
                <w:color w:val="000000"/>
                <w:lang w:eastAsia="tr-TR"/>
              </w:rPr>
            </w:pPr>
            <w:r w:rsidRPr="00C478A9">
              <w:rPr>
                <w:rFonts w:ascii="Aptos" w:eastAsia="Times New Roman" w:hAnsi="Aptos" w:cstheme="minorHAnsi"/>
                <w:b/>
                <w:bCs/>
                <w:lang w:eastAsia="tr-TR"/>
              </w:rPr>
              <w:t>Konteyner Tipi</w:t>
            </w:r>
          </w:p>
        </w:tc>
        <w:tc>
          <w:tcPr>
            <w:tcW w:w="2136" w:type="dxa"/>
            <w:shd w:val="clear" w:color="000000" w:fill="FFFF00"/>
            <w:vAlign w:val="center"/>
            <w:hideMark/>
          </w:tcPr>
          <w:p w14:paraId="29C58656" w14:textId="77777777" w:rsidR="00C478A9" w:rsidRPr="00C478A9" w:rsidRDefault="00C478A9" w:rsidP="00C478A9">
            <w:pPr>
              <w:spacing w:after="0" w:line="240" w:lineRule="auto"/>
              <w:jc w:val="center"/>
              <w:rPr>
                <w:rFonts w:ascii="Aptos" w:eastAsia="Times New Roman" w:hAnsi="Aptos" w:cs="Times New Roman"/>
                <w:b/>
                <w:bCs/>
                <w:color w:val="000000"/>
                <w:lang w:eastAsia="tr-TR"/>
              </w:rPr>
            </w:pPr>
            <w:r w:rsidRPr="00C478A9">
              <w:rPr>
                <w:rFonts w:ascii="Aptos" w:eastAsia="Times New Roman" w:hAnsi="Aptos" w:cstheme="minorHAnsi"/>
                <w:b/>
                <w:bCs/>
                <w:lang w:eastAsia="tr-TR"/>
              </w:rPr>
              <w:t>2024 Yılı Ocak Ayı</w:t>
            </w:r>
          </w:p>
          <w:p w14:paraId="2E5D122B" w14:textId="19BF4D7D" w:rsidR="00C478A9" w:rsidRPr="00C478A9" w:rsidRDefault="00C478A9" w:rsidP="00C478A9">
            <w:pPr>
              <w:spacing w:after="0" w:line="240" w:lineRule="auto"/>
              <w:jc w:val="center"/>
              <w:rPr>
                <w:rFonts w:ascii="Aptos" w:eastAsia="Times New Roman" w:hAnsi="Aptos" w:cs="Times New Roman"/>
                <w:b/>
                <w:bCs/>
                <w:color w:val="000000"/>
                <w:lang w:eastAsia="tr-TR"/>
              </w:rPr>
            </w:pPr>
            <w:r w:rsidRPr="00C478A9">
              <w:rPr>
                <w:rFonts w:ascii="Aptos" w:eastAsia="Times New Roman" w:hAnsi="Aptos" w:cstheme="minorHAnsi"/>
                <w:b/>
                <w:bCs/>
                <w:lang w:eastAsia="tr-TR"/>
              </w:rPr>
              <w:t>Konteyner Miktarı (TEU)</w:t>
            </w:r>
          </w:p>
        </w:tc>
        <w:tc>
          <w:tcPr>
            <w:tcW w:w="2305" w:type="dxa"/>
            <w:shd w:val="clear" w:color="000000" w:fill="FFFF00"/>
            <w:vAlign w:val="center"/>
            <w:hideMark/>
          </w:tcPr>
          <w:p w14:paraId="4EA567E5" w14:textId="77777777" w:rsidR="00C478A9" w:rsidRPr="00C478A9" w:rsidRDefault="00C478A9" w:rsidP="00C478A9">
            <w:pPr>
              <w:spacing w:after="0" w:line="240" w:lineRule="auto"/>
              <w:jc w:val="center"/>
              <w:rPr>
                <w:rFonts w:ascii="Aptos" w:eastAsia="Times New Roman" w:hAnsi="Aptos" w:cs="Times New Roman"/>
                <w:b/>
                <w:bCs/>
                <w:color w:val="000000"/>
                <w:lang w:eastAsia="tr-TR"/>
              </w:rPr>
            </w:pPr>
            <w:r w:rsidRPr="00C478A9">
              <w:rPr>
                <w:rFonts w:ascii="Aptos" w:eastAsia="Times New Roman" w:hAnsi="Aptos" w:cstheme="minorHAnsi"/>
                <w:b/>
                <w:bCs/>
                <w:lang w:eastAsia="tr-TR"/>
              </w:rPr>
              <w:t>2025 Yılı Ocak Ayı</w:t>
            </w:r>
          </w:p>
          <w:p w14:paraId="438EC859" w14:textId="3A8F9EA6" w:rsidR="00C478A9" w:rsidRPr="00C478A9" w:rsidRDefault="00C478A9" w:rsidP="00C478A9">
            <w:pPr>
              <w:spacing w:after="0" w:line="240" w:lineRule="auto"/>
              <w:jc w:val="center"/>
              <w:rPr>
                <w:rFonts w:ascii="Aptos" w:eastAsia="Times New Roman" w:hAnsi="Aptos" w:cs="Times New Roman"/>
                <w:b/>
                <w:bCs/>
                <w:color w:val="000000"/>
                <w:lang w:eastAsia="tr-TR"/>
              </w:rPr>
            </w:pPr>
            <w:r w:rsidRPr="00C478A9">
              <w:rPr>
                <w:rFonts w:ascii="Aptos" w:eastAsia="Times New Roman" w:hAnsi="Aptos" w:cstheme="minorHAnsi"/>
                <w:b/>
                <w:bCs/>
                <w:lang w:eastAsia="tr-TR"/>
              </w:rPr>
              <w:t>Konteyner Miktarı (TEU)</w:t>
            </w:r>
          </w:p>
        </w:tc>
        <w:tc>
          <w:tcPr>
            <w:tcW w:w="922" w:type="dxa"/>
            <w:shd w:val="clear" w:color="000000" w:fill="FFFF00"/>
            <w:vAlign w:val="center"/>
            <w:hideMark/>
          </w:tcPr>
          <w:p w14:paraId="5A678B44" w14:textId="77777777" w:rsidR="00C478A9" w:rsidRPr="00C478A9" w:rsidRDefault="00C478A9" w:rsidP="00C478A9">
            <w:pPr>
              <w:spacing w:after="0" w:line="240" w:lineRule="auto"/>
              <w:jc w:val="center"/>
              <w:rPr>
                <w:rFonts w:ascii="Aptos" w:eastAsia="Times New Roman" w:hAnsi="Aptos" w:cs="Times New Roman"/>
                <w:b/>
                <w:bCs/>
                <w:color w:val="000000"/>
                <w:lang w:eastAsia="tr-TR"/>
              </w:rPr>
            </w:pPr>
            <w:r w:rsidRPr="00C478A9">
              <w:rPr>
                <w:rFonts w:ascii="Aptos" w:eastAsia="Times New Roman" w:hAnsi="Aptos" w:cstheme="minorHAnsi"/>
                <w:b/>
                <w:bCs/>
                <w:color w:val="000000"/>
                <w:lang w:eastAsia="tr-TR"/>
              </w:rPr>
              <w:t> </w:t>
            </w:r>
          </w:p>
          <w:p w14:paraId="57A8D82C" w14:textId="5156A32B" w:rsidR="00C478A9" w:rsidRPr="00C478A9" w:rsidRDefault="00C478A9" w:rsidP="00C478A9">
            <w:pPr>
              <w:spacing w:after="0" w:line="240" w:lineRule="auto"/>
              <w:jc w:val="center"/>
              <w:rPr>
                <w:rFonts w:ascii="Aptos" w:eastAsia="Times New Roman" w:hAnsi="Aptos" w:cs="Times New Roman"/>
                <w:b/>
                <w:bCs/>
                <w:color w:val="000000"/>
                <w:lang w:eastAsia="tr-TR"/>
              </w:rPr>
            </w:pPr>
            <w:r w:rsidRPr="00C478A9">
              <w:rPr>
                <w:rFonts w:ascii="Aptos" w:eastAsia="Times New Roman" w:hAnsi="Aptos" w:cstheme="minorHAnsi"/>
                <w:b/>
                <w:bCs/>
                <w:lang w:eastAsia="tr-TR"/>
              </w:rPr>
              <w:t>Büyüme Oranı</w:t>
            </w:r>
          </w:p>
        </w:tc>
      </w:tr>
      <w:tr w:rsidR="00A54828" w:rsidRPr="00C478A9" w14:paraId="7C02A152" w14:textId="77777777" w:rsidTr="00332732">
        <w:trPr>
          <w:trHeight w:val="508"/>
          <w:jc w:val="center"/>
        </w:trPr>
        <w:tc>
          <w:tcPr>
            <w:tcW w:w="2844" w:type="dxa"/>
            <w:shd w:val="clear" w:color="auto" w:fill="auto"/>
            <w:vAlign w:val="center"/>
            <w:hideMark/>
          </w:tcPr>
          <w:p w14:paraId="477F7D04" w14:textId="77777777" w:rsidR="00C478A9" w:rsidRPr="00C478A9" w:rsidRDefault="00C478A9" w:rsidP="00C478A9">
            <w:pPr>
              <w:spacing w:after="0" w:line="240" w:lineRule="auto"/>
              <w:jc w:val="both"/>
              <w:rPr>
                <w:rFonts w:ascii="Aptos" w:eastAsia="Times New Roman" w:hAnsi="Aptos" w:cs="Times New Roman"/>
                <w:b/>
                <w:bCs/>
                <w:color w:val="000000"/>
                <w:sz w:val="22"/>
                <w:szCs w:val="22"/>
                <w:lang w:eastAsia="tr-TR"/>
              </w:rPr>
            </w:pPr>
            <w:r w:rsidRPr="00C478A9">
              <w:rPr>
                <w:rFonts w:ascii="Aptos" w:eastAsia="Times New Roman" w:hAnsi="Aptos" w:cstheme="minorHAnsi"/>
                <w:b/>
                <w:bCs/>
                <w:color w:val="000000"/>
                <w:sz w:val="22"/>
                <w:szCs w:val="22"/>
                <w:lang w:eastAsia="tr-TR"/>
              </w:rPr>
              <w:t>Yerel (İhracat+İthalat+Kabotaj)</w:t>
            </w:r>
          </w:p>
        </w:tc>
        <w:tc>
          <w:tcPr>
            <w:tcW w:w="2136" w:type="dxa"/>
            <w:shd w:val="clear" w:color="auto" w:fill="auto"/>
            <w:vAlign w:val="center"/>
            <w:hideMark/>
          </w:tcPr>
          <w:p w14:paraId="00EBD81A" w14:textId="77777777" w:rsidR="00C478A9" w:rsidRPr="00C478A9" w:rsidRDefault="00C478A9" w:rsidP="00C478A9">
            <w:pPr>
              <w:spacing w:after="0" w:line="240" w:lineRule="auto"/>
              <w:jc w:val="right"/>
              <w:rPr>
                <w:rFonts w:ascii="Aptos" w:eastAsia="Times New Roman" w:hAnsi="Aptos" w:cs="Times New Roman"/>
                <w:color w:val="000000"/>
                <w:sz w:val="22"/>
                <w:szCs w:val="22"/>
                <w:lang w:eastAsia="tr-TR"/>
              </w:rPr>
            </w:pPr>
            <w:r w:rsidRPr="00C478A9">
              <w:rPr>
                <w:rFonts w:ascii="Aptos" w:eastAsia="Times New Roman" w:hAnsi="Aptos" w:cstheme="minorHAnsi"/>
                <w:color w:val="000000"/>
                <w:sz w:val="22"/>
                <w:szCs w:val="22"/>
                <w:lang w:eastAsia="tr-TR"/>
              </w:rPr>
              <w:t>823.534</w:t>
            </w:r>
          </w:p>
        </w:tc>
        <w:tc>
          <w:tcPr>
            <w:tcW w:w="2305" w:type="dxa"/>
            <w:shd w:val="clear" w:color="auto" w:fill="auto"/>
            <w:vAlign w:val="center"/>
            <w:hideMark/>
          </w:tcPr>
          <w:p w14:paraId="72CE0228" w14:textId="77777777" w:rsidR="00C478A9" w:rsidRPr="00C478A9" w:rsidRDefault="00C478A9" w:rsidP="00C478A9">
            <w:pPr>
              <w:spacing w:after="0" w:line="240" w:lineRule="auto"/>
              <w:jc w:val="right"/>
              <w:rPr>
                <w:rFonts w:ascii="Aptos" w:eastAsia="Times New Roman" w:hAnsi="Aptos" w:cs="Times New Roman"/>
                <w:color w:val="000000"/>
                <w:sz w:val="22"/>
                <w:szCs w:val="22"/>
                <w:lang w:eastAsia="tr-TR"/>
              </w:rPr>
            </w:pPr>
            <w:r w:rsidRPr="00C478A9">
              <w:rPr>
                <w:rFonts w:ascii="Aptos" w:eastAsia="Times New Roman" w:hAnsi="Aptos" w:cs="Arial"/>
                <w:color w:val="000000"/>
                <w:sz w:val="22"/>
                <w:szCs w:val="22"/>
                <w:lang w:eastAsia="tr-TR"/>
              </w:rPr>
              <w:t>927.138</w:t>
            </w:r>
          </w:p>
        </w:tc>
        <w:tc>
          <w:tcPr>
            <w:tcW w:w="922" w:type="dxa"/>
            <w:shd w:val="clear" w:color="auto" w:fill="auto"/>
            <w:vAlign w:val="center"/>
            <w:hideMark/>
          </w:tcPr>
          <w:p w14:paraId="6435B8E2" w14:textId="77777777" w:rsidR="00C478A9" w:rsidRPr="00C478A9" w:rsidRDefault="00C478A9" w:rsidP="00C478A9">
            <w:pPr>
              <w:spacing w:after="0" w:line="240" w:lineRule="auto"/>
              <w:jc w:val="right"/>
              <w:rPr>
                <w:rFonts w:ascii="Aptos" w:eastAsia="Times New Roman" w:hAnsi="Aptos" w:cs="Times New Roman"/>
                <w:color w:val="000000"/>
                <w:sz w:val="22"/>
                <w:szCs w:val="22"/>
                <w:lang w:eastAsia="tr-TR"/>
              </w:rPr>
            </w:pPr>
            <w:r w:rsidRPr="00C478A9">
              <w:rPr>
                <w:rFonts w:ascii="Aptos" w:eastAsia="Times New Roman" w:hAnsi="Aptos" w:cs="Times New Roman"/>
                <w:color w:val="000000"/>
                <w:sz w:val="22"/>
                <w:szCs w:val="22"/>
                <w:lang w:eastAsia="tr-TR"/>
              </w:rPr>
              <w:t>12,58%</w:t>
            </w:r>
          </w:p>
        </w:tc>
      </w:tr>
      <w:tr w:rsidR="00A54828" w:rsidRPr="00C478A9" w14:paraId="378375D2" w14:textId="77777777" w:rsidTr="00332732">
        <w:trPr>
          <w:trHeight w:val="310"/>
          <w:jc w:val="center"/>
        </w:trPr>
        <w:tc>
          <w:tcPr>
            <w:tcW w:w="2844" w:type="dxa"/>
            <w:shd w:val="clear" w:color="auto" w:fill="auto"/>
            <w:vAlign w:val="center"/>
            <w:hideMark/>
          </w:tcPr>
          <w:p w14:paraId="0BF3C439" w14:textId="77777777" w:rsidR="00C478A9" w:rsidRPr="00C478A9" w:rsidRDefault="00C478A9" w:rsidP="00C478A9">
            <w:pPr>
              <w:spacing w:after="0" w:line="240" w:lineRule="auto"/>
              <w:jc w:val="both"/>
              <w:rPr>
                <w:rFonts w:ascii="Aptos" w:eastAsia="Times New Roman" w:hAnsi="Aptos" w:cs="Times New Roman"/>
                <w:b/>
                <w:bCs/>
                <w:color w:val="000000"/>
                <w:sz w:val="22"/>
                <w:szCs w:val="22"/>
                <w:lang w:eastAsia="tr-TR"/>
              </w:rPr>
            </w:pPr>
            <w:r w:rsidRPr="00C478A9">
              <w:rPr>
                <w:rFonts w:ascii="Aptos" w:eastAsia="Times New Roman" w:hAnsi="Aptos" w:cstheme="minorHAnsi"/>
                <w:b/>
                <w:bCs/>
                <w:color w:val="000000"/>
                <w:sz w:val="22"/>
                <w:szCs w:val="22"/>
                <w:lang w:eastAsia="tr-TR"/>
              </w:rPr>
              <w:t xml:space="preserve">Transit </w:t>
            </w:r>
          </w:p>
        </w:tc>
        <w:tc>
          <w:tcPr>
            <w:tcW w:w="2136" w:type="dxa"/>
            <w:shd w:val="clear" w:color="auto" w:fill="auto"/>
            <w:vAlign w:val="center"/>
            <w:hideMark/>
          </w:tcPr>
          <w:p w14:paraId="21BB74E2" w14:textId="77777777" w:rsidR="00C478A9" w:rsidRPr="00C478A9" w:rsidRDefault="00C478A9" w:rsidP="00C478A9">
            <w:pPr>
              <w:spacing w:after="0" w:line="240" w:lineRule="auto"/>
              <w:jc w:val="right"/>
              <w:rPr>
                <w:rFonts w:ascii="Aptos" w:eastAsia="Times New Roman" w:hAnsi="Aptos" w:cs="Times New Roman"/>
                <w:color w:val="000000"/>
                <w:sz w:val="22"/>
                <w:szCs w:val="22"/>
                <w:lang w:eastAsia="tr-TR"/>
              </w:rPr>
            </w:pPr>
            <w:r w:rsidRPr="00C478A9">
              <w:rPr>
                <w:rFonts w:ascii="Aptos" w:eastAsia="Times New Roman" w:hAnsi="Aptos" w:cs="Calibri"/>
                <w:color w:val="000000"/>
                <w:sz w:val="22"/>
                <w:szCs w:val="22"/>
                <w:lang w:eastAsia="tr-TR"/>
              </w:rPr>
              <w:t>190.228</w:t>
            </w:r>
          </w:p>
        </w:tc>
        <w:tc>
          <w:tcPr>
            <w:tcW w:w="2305" w:type="dxa"/>
            <w:shd w:val="clear" w:color="auto" w:fill="auto"/>
            <w:vAlign w:val="center"/>
            <w:hideMark/>
          </w:tcPr>
          <w:p w14:paraId="2F7FC217" w14:textId="77777777" w:rsidR="00C478A9" w:rsidRPr="00C478A9" w:rsidRDefault="00C478A9" w:rsidP="00C478A9">
            <w:pPr>
              <w:spacing w:after="0" w:line="240" w:lineRule="auto"/>
              <w:jc w:val="right"/>
              <w:rPr>
                <w:rFonts w:ascii="Aptos" w:eastAsia="Times New Roman" w:hAnsi="Aptos" w:cs="Times New Roman"/>
                <w:color w:val="000000"/>
                <w:sz w:val="22"/>
                <w:szCs w:val="22"/>
                <w:lang w:eastAsia="tr-TR"/>
              </w:rPr>
            </w:pPr>
            <w:r w:rsidRPr="00C478A9">
              <w:rPr>
                <w:rFonts w:ascii="Aptos" w:eastAsia="Times New Roman" w:hAnsi="Aptos" w:cs="Arial"/>
                <w:color w:val="000000"/>
                <w:sz w:val="22"/>
                <w:szCs w:val="22"/>
                <w:lang w:eastAsia="tr-TR"/>
              </w:rPr>
              <w:t>228.377</w:t>
            </w:r>
          </w:p>
        </w:tc>
        <w:tc>
          <w:tcPr>
            <w:tcW w:w="922" w:type="dxa"/>
            <w:shd w:val="clear" w:color="auto" w:fill="auto"/>
            <w:vAlign w:val="center"/>
            <w:hideMark/>
          </w:tcPr>
          <w:p w14:paraId="5345CAD7" w14:textId="77777777" w:rsidR="00C478A9" w:rsidRPr="00C478A9" w:rsidRDefault="00C478A9" w:rsidP="00C478A9">
            <w:pPr>
              <w:spacing w:after="0" w:line="240" w:lineRule="auto"/>
              <w:jc w:val="right"/>
              <w:rPr>
                <w:rFonts w:ascii="Aptos" w:eastAsia="Times New Roman" w:hAnsi="Aptos" w:cs="Times New Roman"/>
                <w:color w:val="000000"/>
                <w:sz w:val="22"/>
                <w:szCs w:val="22"/>
                <w:lang w:eastAsia="tr-TR"/>
              </w:rPr>
            </w:pPr>
            <w:r w:rsidRPr="00C478A9">
              <w:rPr>
                <w:rFonts w:ascii="Aptos" w:eastAsia="Times New Roman" w:hAnsi="Aptos" w:cs="Times New Roman"/>
                <w:color w:val="000000"/>
                <w:sz w:val="22"/>
                <w:szCs w:val="22"/>
                <w:lang w:eastAsia="tr-TR"/>
              </w:rPr>
              <w:t>20,05%</w:t>
            </w:r>
          </w:p>
        </w:tc>
      </w:tr>
      <w:tr w:rsidR="00A54828" w:rsidRPr="00C478A9" w14:paraId="1DAF6C94" w14:textId="77777777" w:rsidTr="00332732">
        <w:trPr>
          <w:trHeight w:val="310"/>
          <w:jc w:val="center"/>
        </w:trPr>
        <w:tc>
          <w:tcPr>
            <w:tcW w:w="2844" w:type="dxa"/>
            <w:shd w:val="clear" w:color="auto" w:fill="auto"/>
            <w:vAlign w:val="center"/>
            <w:hideMark/>
          </w:tcPr>
          <w:p w14:paraId="494BB95A" w14:textId="77777777" w:rsidR="00C478A9" w:rsidRPr="00C478A9" w:rsidRDefault="00C478A9" w:rsidP="00C478A9">
            <w:pPr>
              <w:spacing w:after="0" w:line="240" w:lineRule="auto"/>
              <w:jc w:val="both"/>
              <w:rPr>
                <w:rFonts w:ascii="Aptos" w:eastAsia="Times New Roman" w:hAnsi="Aptos" w:cs="Times New Roman"/>
                <w:b/>
                <w:bCs/>
                <w:color w:val="000000"/>
                <w:sz w:val="22"/>
                <w:szCs w:val="22"/>
                <w:lang w:eastAsia="tr-TR"/>
              </w:rPr>
            </w:pPr>
            <w:r w:rsidRPr="00C478A9">
              <w:rPr>
                <w:rFonts w:ascii="Aptos" w:eastAsia="Times New Roman" w:hAnsi="Aptos" w:cstheme="minorHAnsi"/>
                <w:b/>
                <w:bCs/>
                <w:color w:val="000000"/>
                <w:sz w:val="22"/>
                <w:szCs w:val="22"/>
                <w:lang w:eastAsia="tr-TR"/>
              </w:rPr>
              <w:t>Toplam</w:t>
            </w:r>
          </w:p>
        </w:tc>
        <w:tc>
          <w:tcPr>
            <w:tcW w:w="2136" w:type="dxa"/>
            <w:shd w:val="clear" w:color="auto" w:fill="auto"/>
            <w:vAlign w:val="center"/>
            <w:hideMark/>
          </w:tcPr>
          <w:p w14:paraId="79129725" w14:textId="77777777" w:rsidR="00C478A9" w:rsidRPr="00C478A9" w:rsidRDefault="00C478A9" w:rsidP="00C478A9">
            <w:pPr>
              <w:spacing w:after="0" w:line="240" w:lineRule="auto"/>
              <w:jc w:val="right"/>
              <w:rPr>
                <w:rFonts w:ascii="Aptos" w:eastAsia="Times New Roman" w:hAnsi="Aptos" w:cs="Times New Roman"/>
                <w:b/>
                <w:bCs/>
                <w:color w:val="000000"/>
                <w:sz w:val="22"/>
                <w:szCs w:val="22"/>
                <w:lang w:eastAsia="tr-TR"/>
              </w:rPr>
            </w:pPr>
            <w:r w:rsidRPr="00C478A9">
              <w:rPr>
                <w:rFonts w:ascii="Aptos" w:eastAsia="Times New Roman" w:hAnsi="Aptos" w:cstheme="minorHAnsi"/>
                <w:b/>
                <w:bCs/>
                <w:color w:val="000000"/>
                <w:sz w:val="22"/>
                <w:szCs w:val="22"/>
                <w:lang w:eastAsia="tr-TR"/>
              </w:rPr>
              <w:t>1.013.762</w:t>
            </w:r>
          </w:p>
        </w:tc>
        <w:tc>
          <w:tcPr>
            <w:tcW w:w="2305" w:type="dxa"/>
            <w:shd w:val="clear" w:color="auto" w:fill="auto"/>
            <w:vAlign w:val="center"/>
            <w:hideMark/>
          </w:tcPr>
          <w:p w14:paraId="593D6465" w14:textId="77777777" w:rsidR="00C478A9" w:rsidRPr="00C478A9" w:rsidRDefault="00C478A9" w:rsidP="00C478A9">
            <w:pPr>
              <w:spacing w:after="0" w:line="240" w:lineRule="auto"/>
              <w:jc w:val="right"/>
              <w:rPr>
                <w:rFonts w:ascii="Aptos" w:eastAsia="Times New Roman" w:hAnsi="Aptos" w:cs="Times New Roman"/>
                <w:b/>
                <w:bCs/>
                <w:color w:val="000000"/>
                <w:sz w:val="22"/>
                <w:szCs w:val="22"/>
                <w:lang w:eastAsia="tr-TR"/>
              </w:rPr>
            </w:pPr>
            <w:r w:rsidRPr="00C478A9">
              <w:rPr>
                <w:rFonts w:ascii="Aptos" w:eastAsia="Times New Roman" w:hAnsi="Aptos" w:cs="Arial"/>
                <w:b/>
                <w:bCs/>
                <w:color w:val="000000"/>
                <w:sz w:val="22"/>
                <w:szCs w:val="22"/>
                <w:lang w:eastAsia="tr-TR"/>
              </w:rPr>
              <w:t>1.155.515</w:t>
            </w:r>
          </w:p>
        </w:tc>
        <w:tc>
          <w:tcPr>
            <w:tcW w:w="922" w:type="dxa"/>
            <w:shd w:val="clear" w:color="auto" w:fill="auto"/>
            <w:vAlign w:val="center"/>
            <w:hideMark/>
          </w:tcPr>
          <w:p w14:paraId="23415D92" w14:textId="77777777" w:rsidR="00C478A9" w:rsidRPr="00C478A9" w:rsidRDefault="00C478A9" w:rsidP="00C478A9">
            <w:pPr>
              <w:spacing w:after="0" w:line="240" w:lineRule="auto"/>
              <w:jc w:val="right"/>
              <w:rPr>
                <w:rFonts w:ascii="Aptos" w:eastAsia="Times New Roman" w:hAnsi="Aptos" w:cs="Times New Roman"/>
                <w:b/>
                <w:bCs/>
                <w:color w:val="000000"/>
                <w:sz w:val="22"/>
                <w:szCs w:val="22"/>
                <w:lang w:eastAsia="tr-TR"/>
              </w:rPr>
            </w:pPr>
            <w:r w:rsidRPr="00C478A9">
              <w:rPr>
                <w:rFonts w:ascii="Aptos" w:eastAsia="Times New Roman" w:hAnsi="Aptos" w:cs="Times New Roman"/>
                <w:b/>
                <w:bCs/>
                <w:color w:val="000000"/>
                <w:sz w:val="22"/>
                <w:szCs w:val="22"/>
                <w:lang w:eastAsia="tr-TR"/>
              </w:rPr>
              <w:t>13,98%</w:t>
            </w:r>
          </w:p>
        </w:tc>
      </w:tr>
    </w:tbl>
    <w:p w14:paraId="1366BFA0" w14:textId="77777777" w:rsidR="00332732" w:rsidRDefault="00332732" w:rsidP="00332732">
      <w:pPr>
        <w:jc w:val="both"/>
        <w:rPr>
          <w:rFonts w:cstheme="minorHAnsi"/>
          <w:sz w:val="24"/>
          <w:szCs w:val="24"/>
        </w:rPr>
      </w:pPr>
    </w:p>
    <w:p w14:paraId="014420A1" w14:textId="1AD3867E" w:rsidR="00375D2C" w:rsidRPr="00AE3B9F" w:rsidRDefault="00332732" w:rsidP="00933410">
      <w:pPr>
        <w:jc w:val="both"/>
        <w:rPr>
          <w:rFonts w:cstheme="minorHAnsi"/>
          <w:sz w:val="24"/>
          <w:szCs w:val="24"/>
        </w:rPr>
      </w:pPr>
      <w:r w:rsidRPr="006506E1">
        <w:rPr>
          <w:rFonts w:cstheme="minorHAnsi"/>
          <w:sz w:val="24"/>
          <w:szCs w:val="24"/>
        </w:rPr>
        <w:t xml:space="preserve">Toplam Konteynerde ise Ocak 2025 ayında gerçekleşen %13,98 büyüme oranı </w:t>
      </w:r>
      <w:r w:rsidR="00614D32">
        <w:rPr>
          <w:rFonts w:cstheme="minorHAnsi"/>
          <w:sz w:val="24"/>
          <w:szCs w:val="24"/>
        </w:rPr>
        <w:t>“</w:t>
      </w:r>
      <w:r w:rsidRPr="006506E1">
        <w:rPr>
          <w:rFonts w:cstheme="minorHAnsi"/>
          <w:sz w:val="24"/>
          <w:szCs w:val="24"/>
        </w:rPr>
        <w:t>Vizyon 2050</w:t>
      </w:r>
      <w:r w:rsidR="00614D32">
        <w:rPr>
          <w:rFonts w:cstheme="minorHAnsi"/>
          <w:sz w:val="24"/>
          <w:szCs w:val="24"/>
        </w:rPr>
        <w:t>”</w:t>
      </w:r>
      <w:r w:rsidRPr="006506E1">
        <w:rPr>
          <w:rFonts w:cstheme="minorHAnsi"/>
          <w:sz w:val="24"/>
          <w:szCs w:val="24"/>
        </w:rPr>
        <w:t xml:space="preserve"> tahminlerinin 2025 yılı için öngördüğü Toplam Konteyner miktarını yakalamak açısından hedeflenen %17,04 orana daha yakın olduğundan</w:t>
      </w:r>
      <w:r w:rsidR="00375D2C">
        <w:rPr>
          <w:rFonts w:cstheme="minorHAnsi"/>
          <w:sz w:val="24"/>
          <w:szCs w:val="24"/>
        </w:rPr>
        <w:t>,</w:t>
      </w:r>
      <w:r w:rsidRPr="006506E1">
        <w:rPr>
          <w:rFonts w:cstheme="minorHAnsi"/>
          <w:sz w:val="24"/>
          <w:szCs w:val="24"/>
        </w:rPr>
        <w:t xml:space="preserve"> genel tahminimiz küresel </w:t>
      </w:r>
      <w:r w:rsidR="00375D2C">
        <w:rPr>
          <w:rFonts w:cstheme="minorHAnsi"/>
          <w:sz w:val="24"/>
          <w:szCs w:val="24"/>
        </w:rPr>
        <w:t xml:space="preserve">ekonomide </w:t>
      </w:r>
      <w:r w:rsidRPr="006506E1">
        <w:rPr>
          <w:rFonts w:cstheme="minorHAnsi"/>
          <w:sz w:val="24"/>
          <w:szCs w:val="24"/>
        </w:rPr>
        <w:t xml:space="preserve">ve Türkiye ekonomisinde yaşanabilecek olumsuz gelişmeler hariç olmak üzere, konteynerde </w:t>
      </w:r>
      <w:r w:rsidR="00375D2C">
        <w:rPr>
          <w:rFonts w:cstheme="minorHAnsi"/>
          <w:sz w:val="24"/>
          <w:szCs w:val="24"/>
        </w:rPr>
        <w:t>“</w:t>
      </w:r>
      <w:r w:rsidRPr="006506E1">
        <w:rPr>
          <w:rFonts w:cstheme="minorHAnsi"/>
          <w:sz w:val="24"/>
          <w:szCs w:val="24"/>
        </w:rPr>
        <w:t>Vizyon 2050</w:t>
      </w:r>
      <w:r w:rsidR="00375D2C">
        <w:rPr>
          <w:rFonts w:cstheme="minorHAnsi"/>
          <w:sz w:val="24"/>
          <w:szCs w:val="24"/>
        </w:rPr>
        <w:t>”</w:t>
      </w:r>
      <w:r w:rsidRPr="006506E1">
        <w:rPr>
          <w:rFonts w:cstheme="minorHAnsi"/>
          <w:sz w:val="24"/>
          <w:szCs w:val="24"/>
        </w:rPr>
        <w:t xml:space="preserve">nin öngördüğü Toplam Konteyner miktarlarına ulaşılabileceği, bunun ağırlıklı olarak Yerel Konteyner miktarlarındaki artışından kaynaklanacağı, Transit Konteynerde ise hedeflerin 2030 yılına </w:t>
      </w:r>
      <w:r w:rsidR="00375D2C">
        <w:rPr>
          <w:rFonts w:cstheme="minorHAnsi"/>
          <w:sz w:val="24"/>
          <w:szCs w:val="24"/>
        </w:rPr>
        <w:t xml:space="preserve">veya sonrasına </w:t>
      </w:r>
      <w:r w:rsidRPr="006506E1">
        <w:rPr>
          <w:rFonts w:cstheme="minorHAnsi"/>
          <w:sz w:val="24"/>
          <w:szCs w:val="24"/>
        </w:rPr>
        <w:t xml:space="preserve">sarkabileceği kabul edilebilir. </w:t>
      </w:r>
    </w:p>
    <w:p w14:paraId="0F0ACF9C" w14:textId="1B69E11A" w:rsidR="00A926EB" w:rsidRPr="00375D2C" w:rsidRDefault="00A926EB" w:rsidP="00A926EB">
      <w:pPr>
        <w:pStyle w:val="ListeParagraf"/>
        <w:numPr>
          <w:ilvl w:val="1"/>
          <w:numId w:val="1"/>
        </w:numPr>
        <w:tabs>
          <w:tab w:val="left" w:pos="567"/>
        </w:tabs>
        <w:ind w:left="0" w:firstLine="0"/>
        <w:jc w:val="both"/>
        <w:rPr>
          <w:rFonts w:cstheme="minorHAnsi"/>
          <w:b/>
          <w:bCs/>
          <w:sz w:val="24"/>
          <w:szCs w:val="24"/>
        </w:rPr>
      </w:pPr>
      <w:r w:rsidRPr="00375D2C">
        <w:rPr>
          <w:rFonts w:cstheme="minorHAnsi"/>
          <w:b/>
          <w:bCs/>
          <w:sz w:val="24"/>
          <w:szCs w:val="24"/>
        </w:rPr>
        <w:t xml:space="preserve">Liman Başkanlıkları Bazında </w:t>
      </w:r>
      <w:r w:rsidR="00A7082F" w:rsidRPr="00375D2C">
        <w:rPr>
          <w:rFonts w:cstheme="minorHAnsi"/>
          <w:b/>
          <w:bCs/>
          <w:sz w:val="24"/>
          <w:szCs w:val="24"/>
        </w:rPr>
        <w:t>Konteynerde Tonaj</w:t>
      </w:r>
      <w:r w:rsidRPr="00375D2C">
        <w:rPr>
          <w:rFonts w:cstheme="minorHAnsi"/>
          <w:b/>
          <w:bCs/>
          <w:sz w:val="24"/>
          <w:szCs w:val="24"/>
        </w:rPr>
        <w:t xml:space="preserve"> ve Büyüme Oranları</w:t>
      </w:r>
    </w:p>
    <w:p w14:paraId="22124300" w14:textId="76E2B45D" w:rsidR="00C03D00" w:rsidRPr="006506E1" w:rsidRDefault="002B6338" w:rsidP="006506E1">
      <w:pPr>
        <w:jc w:val="both"/>
        <w:rPr>
          <w:rFonts w:cstheme="minorHAnsi"/>
          <w:sz w:val="24"/>
          <w:szCs w:val="24"/>
        </w:rPr>
      </w:pPr>
      <w:r w:rsidRPr="006506E1">
        <w:rPr>
          <w:rFonts w:cstheme="minorHAnsi"/>
          <w:sz w:val="24"/>
          <w:szCs w:val="24"/>
        </w:rPr>
        <w:t xml:space="preserve">Ocak-Haziran 2023 ayları, yani birinci yarıyıl değerlendirildiğinde; Ambarlı </w:t>
      </w:r>
      <w:r w:rsidR="00B96EC8">
        <w:rPr>
          <w:rFonts w:cstheme="minorHAnsi"/>
          <w:sz w:val="24"/>
          <w:szCs w:val="24"/>
        </w:rPr>
        <w:t>l</w:t>
      </w:r>
      <w:r w:rsidRPr="006506E1">
        <w:rPr>
          <w:rFonts w:cstheme="minorHAnsi"/>
          <w:sz w:val="24"/>
          <w:szCs w:val="24"/>
        </w:rPr>
        <w:t xml:space="preserve">iman </w:t>
      </w:r>
      <w:r w:rsidR="00B96EC8">
        <w:rPr>
          <w:rFonts w:cstheme="minorHAnsi"/>
          <w:sz w:val="24"/>
          <w:szCs w:val="24"/>
        </w:rPr>
        <w:t>b</w:t>
      </w:r>
      <w:r w:rsidRPr="006506E1">
        <w:rPr>
          <w:rFonts w:cstheme="minorHAnsi"/>
          <w:sz w:val="24"/>
          <w:szCs w:val="24"/>
        </w:rPr>
        <w:t xml:space="preserve">aşkanlığı toplamda 1,6 milyon TEU ile ilk sırada yer alırken onu </w:t>
      </w:r>
      <w:r w:rsidR="00054619" w:rsidRPr="006506E1">
        <w:rPr>
          <w:rFonts w:cstheme="minorHAnsi"/>
          <w:sz w:val="24"/>
          <w:szCs w:val="24"/>
        </w:rPr>
        <w:t>2,3</w:t>
      </w:r>
      <w:r w:rsidRPr="006506E1">
        <w:rPr>
          <w:rFonts w:cstheme="minorHAnsi"/>
          <w:sz w:val="24"/>
          <w:szCs w:val="24"/>
        </w:rPr>
        <w:t xml:space="preserve"> milyon TEU ile Kocaeli </w:t>
      </w:r>
      <w:r w:rsidR="00B96EC8">
        <w:rPr>
          <w:rFonts w:cstheme="minorHAnsi"/>
          <w:sz w:val="24"/>
          <w:szCs w:val="24"/>
        </w:rPr>
        <w:t>l</w:t>
      </w:r>
      <w:r w:rsidRPr="006506E1">
        <w:rPr>
          <w:rFonts w:cstheme="minorHAnsi"/>
          <w:sz w:val="24"/>
          <w:szCs w:val="24"/>
        </w:rPr>
        <w:t xml:space="preserve">iman </w:t>
      </w:r>
      <w:r w:rsidR="00B96EC8">
        <w:rPr>
          <w:rFonts w:cstheme="minorHAnsi"/>
          <w:sz w:val="24"/>
          <w:szCs w:val="24"/>
        </w:rPr>
        <w:t>b</w:t>
      </w:r>
      <w:r w:rsidRPr="006506E1">
        <w:rPr>
          <w:rFonts w:cstheme="minorHAnsi"/>
          <w:sz w:val="24"/>
          <w:szCs w:val="24"/>
        </w:rPr>
        <w:t xml:space="preserve">aşkanlığı izlemiş, </w:t>
      </w:r>
      <w:r w:rsidR="003C756A" w:rsidRPr="006506E1">
        <w:rPr>
          <w:rFonts w:cstheme="minorHAnsi"/>
          <w:sz w:val="24"/>
          <w:szCs w:val="24"/>
        </w:rPr>
        <w:t xml:space="preserve">2,1 </w:t>
      </w:r>
      <w:r w:rsidR="00F93512" w:rsidRPr="006506E1">
        <w:rPr>
          <w:rFonts w:cstheme="minorHAnsi"/>
          <w:sz w:val="24"/>
          <w:szCs w:val="24"/>
        </w:rPr>
        <w:t xml:space="preserve">milyon TEU ile Aliağa </w:t>
      </w:r>
      <w:r w:rsidR="00B96EC8">
        <w:rPr>
          <w:rFonts w:cstheme="minorHAnsi"/>
          <w:sz w:val="24"/>
          <w:szCs w:val="24"/>
        </w:rPr>
        <w:t>l</w:t>
      </w:r>
      <w:r w:rsidR="00F93512" w:rsidRPr="006506E1">
        <w:rPr>
          <w:rFonts w:cstheme="minorHAnsi"/>
          <w:sz w:val="24"/>
          <w:szCs w:val="24"/>
        </w:rPr>
        <w:t xml:space="preserve">iman </w:t>
      </w:r>
      <w:r w:rsidR="00B96EC8">
        <w:rPr>
          <w:rFonts w:cstheme="minorHAnsi"/>
          <w:sz w:val="24"/>
          <w:szCs w:val="24"/>
        </w:rPr>
        <w:t>b</w:t>
      </w:r>
      <w:r w:rsidR="00F93512" w:rsidRPr="006506E1">
        <w:rPr>
          <w:rFonts w:cstheme="minorHAnsi"/>
          <w:sz w:val="24"/>
          <w:szCs w:val="24"/>
        </w:rPr>
        <w:t xml:space="preserve">aşkanlığı üçüncü, 2 milyon TEU ile Tekirdağ </w:t>
      </w:r>
      <w:r w:rsidR="00B96EC8">
        <w:rPr>
          <w:rFonts w:cstheme="minorHAnsi"/>
          <w:sz w:val="24"/>
          <w:szCs w:val="24"/>
        </w:rPr>
        <w:t>l</w:t>
      </w:r>
      <w:r w:rsidR="00F93512" w:rsidRPr="006506E1">
        <w:rPr>
          <w:rFonts w:cstheme="minorHAnsi"/>
          <w:sz w:val="24"/>
          <w:szCs w:val="24"/>
        </w:rPr>
        <w:t>iman başkanlığı dördüncü</w:t>
      </w:r>
      <w:r w:rsidR="00B96EC8">
        <w:rPr>
          <w:rFonts w:cstheme="minorHAnsi"/>
          <w:sz w:val="24"/>
          <w:szCs w:val="24"/>
        </w:rPr>
        <w:t xml:space="preserve"> ve</w:t>
      </w:r>
      <w:r w:rsidR="00F93512" w:rsidRPr="006506E1">
        <w:rPr>
          <w:rFonts w:cstheme="minorHAnsi"/>
          <w:sz w:val="24"/>
          <w:szCs w:val="24"/>
        </w:rPr>
        <w:t xml:space="preserve"> 1,9 milyon </w:t>
      </w:r>
      <w:r w:rsidRPr="006506E1">
        <w:rPr>
          <w:rFonts w:cstheme="minorHAnsi"/>
          <w:sz w:val="24"/>
          <w:szCs w:val="24"/>
        </w:rPr>
        <w:t xml:space="preserve">TEU ile Mersin </w:t>
      </w:r>
      <w:r w:rsidR="00B96EC8">
        <w:rPr>
          <w:rFonts w:cstheme="minorHAnsi"/>
          <w:sz w:val="24"/>
          <w:szCs w:val="24"/>
        </w:rPr>
        <w:t>l</w:t>
      </w:r>
      <w:r w:rsidRPr="006506E1">
        <w:rPr>
          <w:rFonts w:cstheme="minorHAnsi"/>
          <w:sz w:val="24"/>
          <w:szCs w:val="24"/>
        </w:rPr>
        <w:t xml:space="preserve">iman </w:t>
      </w:r>
      <w:r w:rsidR="00B96EC8">
        <w:rPr>
          <w:rFonts w:cstheme="minorHAnsi"/>
          <w:sz w:val="24"/>
          <w:szCs w:val="24"/>
        </w:rPr>
        <w:t>b</w:t>
      </w:r>
      <w:r w:rsidRPr="006506E1">
        <w:rPr>
          <w:rFonts w:cstheme="minorHAnsi"/>
          <w:sz w:val="24"/>
          <w:szCs w:val="24"/>
        </w:rPr>
        <w:t xml:space="preserve">aşkanlığı </w:t>
      </w:r>
      <w:r w:rsidR="00F93512" w:rsidRPr="006506E1">
        <w:rPr>
          <w:rFonts w:cstheme="minorHAnsi"/>
          <w:sz w:val="24"/>
          <w:szCs w:val="24"/>
        </w:rPr>
        <w:t>beşinci</w:t>
      </w:r>
      <w:r w:rsidR="00AA4927" w:rsidRPr="006506E1">
        <w:rPr>
          <w:rFonts w:cstheme="minorHAnsi"/>
          <w:sz w:val="24"/>
          <w:szCs w:val="24"/>
        </w:rPr>
        <w:t xml:space="preserve"> </w:t>
      </w:r>
      <w:r w:rsidRPr="006506E1">
        <w:rPr>
          <w:rFonts w:cstheme="minorHAnsi"/>
          <w:sz w:val="24"/>
          <w:szCs w:val="24"/>
        </w:rPr>
        <w:t xml:space="preserve">olmuştur. </w:t>
      </w:r>
      <w:r w:rsidR="00AA4927" w:rsidRPr="006506E1">
        <w:rPr>
          <w:rFonts w:cstheme="minorHAnsi"/>
          <w:sz w:val="24"/>
          <w:szCs w:val="24"/>
        </w:rPr>
        <w:t xml:space="preserve">Bu beş liman başkanlığı bir milyon TEU </w:t>
      </w:r>
      <w:r w:rsidR="00681E1E" w:rsidRPr="006506E1">
        <w:rPr>
          <w:rFonts w:cstheme="minorHAnsi"/>
          <w:sz w:val="24"/>
          <w:szCs w:val="24"/>
        </w:rPr>
        <w:t>üstünde</w:t>
      </w:r>
      <w:r w:rsidR="00AA4927" w:rsidRPr="006506E1">
        <w:rPr>
          <w:rFonts w:cstheme="minorHAnsi"/>
          <w:sz w:val="24"/>
          <w:szCs w:val="24"/>
        </w:rPr>
        <w:t xml:space="preserve"> konteyner elleçleyen </w:t>
      </w:r>
      <w:r w:rsidR="00681E1E" w:rsidRPr="006506E1">
        <w:rPr>
          <w:rFonts w:cstheme="minorHAnsi"/>
          <w:sz w:val="24"/>
          <w:szCs w:val="24"/>
        </w:rPr>
        <w:t>liman</w:t>
      </w:r>
      <w:r w:rsidR="00B96EC8">
        <w:rPr>
          <w:rFonts w:cstheme="minorHAnsi"/>
          <w:sz w:val="24"/>
          <w:szCs w:val="24"/>
        </w:rPr>
        <w:t xml:space="preserve"> başkanlıklarım</w:t>
      </w:r>
      <w:r w:rsidR="000F57B3">
        <w:rPr>
          <w:rFonts w:cstheme="minorHAnsi"/>
          <w:sz w:val="24"/>
          <w:szCs w:val="24"/>
        </w:rPr>
        <w:t>ızdır. E</w:t>
      </w:r>
      <w:r w:rsidR="00AE0B68">
        <w:rPr>
          <w:rFonts w:cstheme="minorHAnsi"/>
          <w:sz w:val="24"/>
          <w:szCs w:val="24"/>
        </w:rPr>
        <w:t>n f</w:t>
      </w:r>
      <w:r w:rsidRPr="006506E1">
        <w:rPr>
          <w:rFonts w:cstheme="minorHAnsi"/>
          <w:sz w:val="24"/>
          <w:szCs w:val="24"/>
        </w:rPr>
        <w:t xml:space="preserve">azla konteyner elleçlemesi gerçekleşen ilk 5 liman başkanlığı (Ambarlı, Kocaeli, </w:t>
      </w:r>
      <w:r w:rsidR="00681E1E" w:rsidRPr="006506E1">
        <w:rPr>
          <w:rFonts w:cstheme="minorHAnsi"/>
          <w:sz w:val="24"/>
          <w:szCs w:val="24"/>
        </w:rPr>
        <w:t xml:space="preserve">Aliağa </w:t>
      </w:r>
      <w:r w:rsidRPr="006506E1">
        <w:rPr>
          <w:rFonts w:cstheme="minorHAnsi"/>
          <w:sz w:val="24"/>
          <w:szCs w:val="24"/>
        </w:rPr>
        <w:t>Tekirdağ ve</w:t>
      </w:r>
      <w:r w:rsidR="00681E1E" w:rsidRPr="006506E1">
        <w:rPr>
          <w:rFonts w:cstheme="minorHAnsi"/>
          <w:sz w:val="24"/>
          <w:szCs w:val="24"/>
        </w:rPr>
        <w:t xml:space="preserve"> Mersin</w:t>
      </w:r>
      <w:r w:rsidRPr="006506E1">
        <w:rPr>
          <w:rFonts w:cstheme="minorHAnsi"/>
          <w:sz w:val="24"/>
          <w:szCs w:val="24"/>
        </w:rPr>
        <w:t>) toplam konteynerin %8</w:t>
      </w:r>
      <w:r w:rsidR="007A1188" w:rsidRPr="006506E1">
        <w:rPr>
          <w:rFonts w:cstheme="minorHAnsi"/>
          <w:sz w:val="24"/>
          <w:szCs w:val="24"/>
        </w:rPr>
        <w:t xml:space="preserve">4’ünü </w:t>
      </w:r>
      <w:r w:rsidR="00BC1A25" w:rsidRPr="006506E1">
        <w:rPr>
          <w:rFonts w:cstheme="minorHAnsi"/>
          <w:sz w:val="24"/>
          <w:szCs w:val="24"/>
        </w:rPr>
        <w:t>elleçlerlerken</w:t>
      </w:r>
      <w:r w:rsidR="000F57B3">
        <w:rPr>
          <w:rFonts w:cstheme="minorHAnsi"/>
          <w:sz w:val="24"/>
          <w:szCs w:val="24"/>
        </w:rPr>
        <w:t>,</w:t>
      </w:r>
      <w:r w:rsidR="007A1188" w:rsidRPr="006506E1">
        <w:rPr>
          <w:rFonts w:cstheme="minorHAnsi"/>
          <w:sz w:val="24"/>
          <w:szCs w:val="24"/>
        </w:rPr>
        <w:t xml:space="preserve"> ilk 10</w:t>
      </w:r>
      <w:r w:rsidR="00BC1A25" w:rsidRPr="006506E1">
        <w:rPr>
          <w:rFonts w:cstheme="minorHAnsi"/>
          <w:sz w:val="24"/>
          <w:szCs w:val="24"/>
        </w:rPr>
        <w:t xml:space="preserve"> liman başkanlığı ise (Ambarlı, Kocaeli, Aliağa Tekirdağ, Mersin</w:t>
      </w:r>
      <w:r w:rsidR="00C34991" w:rsidRPr="006506E1">
        <w:rPr>
          <w:rFonts w:cstheme="minorHAnsi"/>
          <w:sz w:val="24"/>
          <w:szCs w:val="24"/>
        </w:rPr>
        <w:t xml:space="preserve">, Gemlik, İskenderun, İzmir, Samsun ve Antalya) ise </w:t>
      </w:r>
      <w:r w:rsidR="00C03D00" w:rsidRPr="006506E1">
        <w:rPr>
          <w:rFonts w:cstheme="minorHAnsi"/>
          <w:sz w:val="24"/>
          <w:szCs w:val="24"/>
        </w:rPr>
        <w:t xml:space="preserve">toplam konteynerin %99,6’sını elleçlemiştir. </w:t>
      </w:r>
      <w:r w:rsidR="00D95F02" w:rsidRPr="006506E1">
        <w:rPr>
          <w:rFonts w:cstheme="minorHAnsi"/>
          <w:sz w:val="24"/>
          <w:szCs w:val="24"/>
        </w:rPr>
        <w:t xml:space="preserve">Bu oranlar 2023 yılıyla </w:t>
      </w:r>
      <w:r w:rsidR="00AE0B68">
        <w:rPr>
          <w:rFonts w:cstheme="minorHAnsi"/>
          <w:sz w:val="24"/>
          <w:szCs w:val="24"/>
        </w:rPr>
        <w:t xml:space="preserve">hemen hemen </w:t>
      </w:r>
      <w:r w:rsidR="00D95F02" w:rsidRPr="006506E1">
        <w:rPr>
          <w:rFonts w:cstheme="minorHAnsi"/>
          <w:sz w:val="24"/>
          <w:szCs w:val="24"/>
        </w:rPr>
        <w:t>aynıdır.</w:t>
      </w:r>
    </w:p>
    <w:p w14:paraId="6719DD7E" w14:textId="2F45067B" w:rsidR="00B835E2" w:rsidRPr="00375D2C" w:rsidRDefault="00B835E2" w:rsidP="00B835E2">
      <w:pPr>
        <w:jc w:val="center"/>
        <w:rPr>
          <w:rFonts w:cstheme="minorHAnsi"/>
          <w:b/>
          <w:bCs/>
          <w:sz w:val="22"/>
          <w:szCs w:val="22"/>
        </w:rPr>
      </w:pPr>
      <w:r w:rsidRPr="00375D2C">
        <w:rPr>
          <w:rFonts w:cstheme="minorHAnsi"/>
          <w:b/>
          <w:bCs/>
          <w:sz w:val="22"/>
          <w:szCs w:val="22"/>
          <w:u w:val="single"/>
        </w:rPr>
        <w:t>Tablo-</w:t>
      </w:r>
      <w:r w:rsidR="00375D2C" w:rsidRPr="00375D2C">
        <w:rPr>
          <w:rFonts w:cstheme="minorHAnsi"/>
          <w:b/>
          <w:bCs/>
          <w:sz w:val="22"/>
          <w:szCs w:val="22"/>
          <w:u w:val="single"/>
        </w:rPr>
        <w:t>20</w:t>
      </w:r>
      <w:r w:rsidRPr="00375D2C">
        <w:rPr>
          <w:rFonts w:cstheme="minorHAnsi"/>
          <w:b/>
          <w:bCs/>
          <w:sz w:val="22"/>
          <w:szCs w:val="22"/>
          <w:u w:val="single"/>
        </w:rPr>
        <w:t>:</w:t>
      </w:r>
      <w:r w:rsidRPr="00375D2C">
        <w:rPr>
          <w:rFonts w:cstheme="minorHAnsi"/>
          <w:sz w:val="22"/>
          <w:szCs w:val="22"/>
        </w:rPr>
        <w:t xml:space="preserve"> </w:t>
      </w:r>
      <w:r w:rsidRPr="00375D2C">
        <w:rPr>
          <w:rFonts w:cstheme="minorHAnsi"/>
          <w:b/>
          <w:bCs/>
          <w:sz w:val="22"/>
          <w:szCs w:val="22"/>
        </w:rPr>
        <w:t>Liman Başkanlıkları Bazında Konteynerde Tonaj ve Büyüme Oranları (2023-2024)</w:t>
      </w:r>
    </w:p>
    <w:p w14:paraId="49A2A556" w14:textId="66530B5B" w:rsidR="00B835E2" w:rsidRDefault="00B835E2" w:rsidP="00A70876">
      <w:pPr>
        <w:rPr>
          <w:rFonts w:cstheme="minorHAnsi"/>
          <w:b/>
          <w:bCs/>
        </w:rPr>
      </w:pPr>
      <w:r w:rsidRPr="00B835E2">
        <w:rPr>
          <w:noProof/>
        </w:rPr>
        <w:drawing>
          <wp:inline distT="0" distB="0" distL="0" distR="0" wp14:anchorId="48B88CA1" wp14:editId="1AFF1022">
            <wp:extent cx="6121940" cy="1141095"/>
            <wp:effectExtent l="0" t="0" r="0" b="1905"/>
            <wp:docPr id="6143216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1944" cy="1167191"/>
                    </a:xfrm>
                    <a:prstGeom prst="rect">
                      <a:avLst/>
                    </a:prstGeom>
                    <a:noFill/>
                    <a:ln>
                      <a:noFill/>
                    </a:ln>
                  </pic:spPr>
                </pic:pic>
              </a:graphicData>
            </a:graphic>
          </wp:inline>
        </w:drawing>
      </w:r>
    </w:p>
    <w:p w14:paraId="09686420" w14:textId="77777777" w:rsidR="00040373" w:rsidRDefault="00040373" w:rsidP="00A70876">
      <w:pPr>
        <w:jc w:val="center"/>
        <w:rPr>
          <w:rFonts w:cstheme="minorHAnsi"/>
          <w:b/>
          <w:bCs/>
          <w:sz w:val="22"/>
          <w:szCs w:val="22"/>
          <w:u w:val="single"/>
        </w:rPr>
      </w:pPr>
    </w:p>
    <w:p w14:paraId="1BA5ABE2" w14:textId="77777777" w:rsidR="00040373" w:rsidRDefault="00040373" w:rsidP="00A70876">
      <w:pPr>
        <w:jc w:val="center"/>
        <w:rPr>
          <w:rFonts w:cstheme="minorHAnsi"/>
          <w:b/>
          <w:bCs/>
          <w:sz w:val="22"/>
          <w:szCs w:val="22"/>
          <w:u w:val="single"/>
        </w:rPr>
      </w:pPr>
    </w:p>
    <w:p w14:paraId="6FE9140B" w14:textId="04D5DDAB" w:rsidR="00A70876" w:rsidRPr="00375D2C" w:rsidRDefault="00A70876" w:rsidP="00A70876">
      <w:pPr>
        <w:jc w:val="center"/>
        <w:rPr>
          <w:rFonts w:cstheme="minorHAnsi"/>
          <w:b/>
          <w:bCs/>
          <w:sz w:val="22"/>
          <w:szCs w:val="22"/>
        </w:rPr>
      </w:pPr>
      <w:r w:rsidRPr="00375D2C">
        <w:rPr>
          <w:rFonts w:cstheme="minorHAnsi"/>
          <w:b/>
          <w:bCs/>
          <w:sz w:val="22"/>
          <w:szCs w:val="22"/>
          <w:u w:val="single"/>
        </w:rPr>
        <w:lastRenderedPageBreak/>
        <w:t>Tablo-2</w:t>
      </w:r>
      <w:r w:rsidR="00375D2C" w:rsidRPr="00375D2C">
        <w:rPr>
          <w:rFonts w:cstheme="minorHAnsi"/>
          <w:b/>
          <w:bCs/>
          <w:sz w:val="22"/>
          <w:szCs w:val="22"/>
          <w:u w:val="single"/>
        </w:rPr>
        <w:t>1</w:t>
      </w:r>
      <w:r w:rsidRPr="00375D2C">
        <w:rPr>
          <w:rFonts w:cstheme="minorHAnsi"/>
          <w:b/>
          <w:bCs/>
          <w:sz w:val="22"/>
          <w:szCs w:val="22"/>
          <w:u w:val="single"/>
        </w:rPr>
        <w:t>:</w:t>
      </w:r>
      <w:r w:rsidRPr="00375D2C">
        <w:rPr>
          <w:rFonts w:cstheme="minorHAnsi"/>
          <w:sz w:val="22"/>
          <w:szCs w:val="22"/>
        </w:rPr>
        <w:t xml:space="preserve"> </w:t>
      </w:r>
      <w:r w:rsidRPr="00375D2C">
        <w:rPr>
          <w:rFonts w:cstheme="minorHAnsi"/>
          <w:b/>
          <w:bCs/>
          <w:sz w:val="22"/>
          <w:szCs w:val="22"/>
        </w:rPr>
        <w:t>Liman Başkanlıkları Bazında Konteynerde Tonaj ve Büyüme Oranları (202</w:t>
      </w:r>
      <w:r w:rsidR="0079084C" w:rsidRPr="00375D2C">
        <w:rPr>
          <w:rFonts w:cstheme="minorHAnsi"/>
          <w:b/>
          <w:bCs/>
          <w:sz w:val="22"/>
          <w:szCs w:val="22"/>
        </w:rPr>
        <w:t>2</w:t>
      </w:r>
      <w:r w:rsidRPr="00375D2C">
        <w:rPr>
          <w:rFonts w:cstheme="minorHAnsi"/>
          <w:b/>
          <w:bCs/>
          <w:sz w:val="22"/>
          <w:szCs w:val="22"/>
        </w:rPr>
        <w:t>-202</w:t>
      </w:r>
      <w:r w:rsidR="0079084C" w:rsidRPr="00375D2C">
        <w:rPr>
          <w:rFonts w:cstheme="minorHAnsi"/>
          <w:b/>
          <w:bCs/>
          <w:sz w:val="22"/>
          <w:szCs w:val="22"/>
        </w:rPr>
        <w:t>3</w:t>
      </w:r>
      <w:r w:rsidRPr="00375D2C">
        <w:rPr>
          <w:rFonts w:cstheme="minorHAnsi"/>
          <w:b/>
          <w:bCs/>
          <w:sz w:val="22"/>
          <w:szCs w:val="22"/>
        </w:rPr>
        <w:t>)</w:t>
      </w:r>
    </w:p>
    <w:p w14:paraId="45EDA270" w14:textId="7C304F8A" w:rsidR="00B835E2" w:rsidRDefault="00A70876" w:rsidP="002B6338">
      <w:pPr>
        <w:pStyle w:val="ListeParagraf"/>
        <w:tabs>
          <w:tab w:val="left" w:pos="284"/>
        </w:tabs>
        <w:ind w:left="0"/>
        <w:jc w:val="both"/>
        <w:rPr>
          <w:rFonts w:cstheme="minorHAnsi"/>
          <w:b/>
          <w:bCs/>
        </w:rPr>
      </w:pPr>
      <w:r w:rsidRPr="00A70876">
        <w:rPr>
          <w:noProof/>
        </w:rPr>
        <w:drawing>
          <wp:inline distT="0" distB="0" distL="0" distR="0" wp14:anchorId="41F6164A" wp14:editId="0AB14948">
            <wp:extent cx="6026150" cy="1115438"/>
            <wp:effectExtent l="0" t="0" r="0" b="8890"/>
            <wp:docPr id="114108268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019" cy="1126520"/>
                    </a:xfrm>
                    <a:prstGeom prst="rect">
                      <a:avLst/>
                    </a:prstGeom>
                    <a:noFill/>
                    <a:ln>
                      <a:noFill/>
                    </a:ln>
                  </pic:spPr>
                </pic:pic>
              </a:graphicData>
            </a:graphic>
          </wp:inline>
        </w:drawing>
      </w:r>
    </w:p>
    <w:p w14:paraId="5AC824B5" w14:textId="77777777" w:rsidR="00A70876" w:rsidRDefault="00A70876" w:rsidP="00D95F02">
      <w:pPr>
        <w:pStyle w:val="ListeParagraf"/>
        <w:tabs>
          <w:tab w:val="left" w:pos="284"/>
        </w:tabs>
        <w:ind w:left="0"/>
        <w:jc w:val="both"/>
        <w:rPr>
          <w:rFonts w:cstheme="minorHAnsi"/>
        </w:rPr>
      </w:pPr>
    </w:p>
    <w:p w14:paraId="6E77EF95" w14:textId="0D46D4C6" w:rsidR="0079084C" w:rsidRPr="006506E1" w:rsidRDefault="00A70876" w:rsidP="006506E1">
      <w:pPr>
        <w:jc w:val="both"/>
        <w:rPr>
          <w:rFonts w:cstheme="minorHAnsi"/>
          <w:sz w:val="24"/>
          <w:szCs w:val="24"/>
        </w:rPr>
      </w:pPr>
      <w:r w:rsidRPr="006506E1">
        <w:rPr>
          <w:rFonts w:cstheme="minorHAnsi"/>
          <w:sz w:val="24"/>
          <w:szCs w:val="24"/>
        </w:rPr>
        <w:t>Tablo-</w:t>
      </w:r>
      <w:r w:rsidR="00AE0B68">
        <w:rPr>
          <w:rFonts w:cstheme="minorHAnsi"/>
          <w:sz w:val="24"/>
          <w:szCs w:val="24"/>
        </w:rPr>
        <w:t>20</w:t>
      </w:r>
      <w:r w:rsidRPr="006506E1">
        <w:rPr>
          <w:rFonts w:cstheme="minorHAnsi"/>
          <w:sz w:val="24"/>
          <w:szCs w:val="24"/>
        </w:rPr>
        <w:t xml:space="preserve"> ve Tablo-2</w:t>
      </w:r>
      <w:r w:rsidR="00AE0B68">
        <w:rPr>
          <w:rFonts w:cstheme="minorHAnsi"/>
          <w:sz w:val="24"/>
          <w:szCs w:val="24"/>
        </w:rPr>
        <w:t>1</w:t>
      </w:r>
      <w:r w:rsidRPr="006506E1">
        <w:rPr>
          <w:rFonts w:cstheme="minorHAnsi"/>
          <w:sz w:val="24"/>
          <w:szCs w:val="24"/>
        </w:rPr>
        <w:t xml:space="preserve">’i </w:t>
      </w:r>
      <w:r w:rsidR="00B71732" w:rsidRPr="006506E1">
        <w:rPr>
          <w:rFonts w:cstheme="minorHAnsi"/>
          <w:sz w:val="24"/>
          <w:szCs w:val="24"/>
        </w:rPr>
        <w:t>karşılaştırdığımızda</w:t>
      </w:r>
      <w:r w:rsidR="00AE0B68">
        <w:rPr>
          <w:rFonts w:cstheme="minorHAnsi"/>
          <w:sz w:val="24"/>
          <w:szCs w:val="24"/>
        </w:rPr>
        <w:t>;</w:t>
      </w:r>
      <w:r w:rsidR="00B71732" w:rsidRPr="006506E1">
        <w:rPr>
          <w:rFonts w:cstheme="minorHAnsi"/>
          <w:sz w:val="24"/>
          <w:szCs w:val="24"/>
        </w:rPr>
        <w:t xml:space="preserve"> </w:t>
      </w:r>
      <w:r w:rsidR="00D95F02" w:rsidRPr="006506E1">
        <w:rPr>
          <w:rFonts w:cstheme="minorHAnsi"/>
          <w:sz w:val="24"/>
          <w:szCs w:val="24"/>
        </w:rPr>
        <w:t xml:space="preserve">konteyner elleçleme rakamları </w:t>
      </w:r>
      <w:r w:rsidR="00B71732" w:rsidRPr="006506E1">
        <w:rPr>
          <w:rFonts w:cstheme="minorHAnsi"/>
          <w:sz w:val="24"/>
          <w:szCs w:val="24"/>
        </w:rPr>
        <w:t>202</w:t>
      </w:r>
      <w:r w:rsidR="00DF1794">
        <w:rPr>
          <w:rFonts w:cstheme="minorHAnsi"/>
          <w:sz w:val="24"/>
          <w:szCs w:val="24"/>
        </w:rPr>
        <w:t>2</w:t>
      </w:r>
      <w:r w:rsidR="00B71732" w:rsidRPr="006506E1">
        <w:rPr>
          <w:rFonts w:cstheme="minorHAnsi"/>
          <w:sz w:val="24"/>
          <w:szCs w:val="24"/>
        </w:rPr>
        <w:t xml:space="preserve"> yılında </w:t>
      </w:r>
      <w:r w:rsidR="00D95F02" w:rsidRPr="006506E1">
        <w:rPr>
          <w:rFonts w:cstheme="minorHAnsi"/>
          <w:sz w:val="24"/>
          <w:szCs w:val="24"/>
        </w:rPr>
        <w:t xml:space="preserve">olağanüstü düşen İskenderun </w:t>
      </w:r>
      <w:r w:rsidR="00AE0B68">
        <w:rPr>
          <w:rFonts w:cstheme="minorHAnsi"/>
          <w:sz w:val="24"/>
          <w:szCs w:val="24"/>
        </w:rPr>
        <w:t>l</w:t>
      </w:r>
      <w:r w:rsidR="00D95F02" w:rsidRPr="006506E1">
        <w:rPr>
          <w:rFonts w:cstheme="minorHAnsi"/>
          <w:sz w:val="24"/>
          <w:szCs w:val="24"/>
        </w:rPr>
        <w:t xml:space="preserve">iman </w:t>
      </w:r>
      <w:r w:rsidR="00AE0B68">
        <w:rPr>
          <w:rFonts w:cstheme="minorHAnsi"/>
          <w:sz w:val="24"/>
          <w:szCs w:val="24"/>
        </w:rPr>
        <w:t>b</w:t>
      </w:r>
      <w:r w:rsidR="00D95F02" w:rsidRPr="006506E1">
        <w:rPr>
          <w:rFonts w:cstheme="minorHAnsi"/>
          <w:sz w:val="24"/>
          <w:szCs w:val="24"/>
        </w:rPr>
        <w:t xml:space="preserve">aşkanlığı </w:t>
      </w:r>
      <w:r w:rsidR="009070E5" w:rsidRPr="006506E1">
        <w:rPr>
          <w:rFonts w:cstheme="minorHAnsi"/>
          <w:sz w:val="24"/>
          <w:szCs w:val="24"/>
        </w:rPr>
        <w:t>2023 yılında</w:t>
      </w:r>
      <w:r w:rsidR="00B71732" w:rsidRPr="006506E1">
        <w:rPr>
          <w:rFonts w:cstheme="minorHAnsi"/>
          <w:sz w:val="24"/>
          <w:szCs w:val="24"/>
        </w:rPr>
        <w:t xml:space="preserve"> toparlanmaya başlamış fakat yılı</w:t>
      </w:r>
      <w:r w:rsidR="00684DD7" w:rsidRPr="006506E1">
        <w:rPr>
          <w:rFonts w:cstheme="minorHAnsi"/>
          <w:sz w:val="24"/>
          <w:szCs w:val="24"/>
        </w:rPr>
        <w:t xml:space="preserve"> %1,50 oranında düşüle kapat</w:t>
      </w:r>
      <w:r w:rsidR="00DF1794">
        <w:rPr>
          <w:rFonts w:cstheme="minorHAnsi"/>
          <w:sz w:val="24"/>
          <w:szCs w:val="24"/>
        </w:rPr>
        <w:t xml:space="preserve">mıştır. Devamında </w:t>
      </w:r>
      <w:r w:rsidR="009070E5" w:rsidRPr="006506E1">
        <w:rPr>
          <w:rFonts w:cstheme="minorHAnsi"/>
          <w:sz w:val="24"/>
          <w:szCs w:val="24"/>
        </w:rPr>
        <w:t xml:space="preserve">2024 yılında </w:t>
      </w:r>
      <w:r w:rsidR="00DF1794">
        <w:rPr>
          <w:rFonts w:cstheme="minorHAnsi"/>
          <w:sz w:val="24"/>
          <w:szCs w:val="24"/>
        </w:rPr>
        <w:t xml:space="preserve">ise </w:t>
      </w:r>
      <w:r w:rsidR="00CE6BF4" w:rsidRPr="006506E1">
        <w:rPr>
          <w:rFonts w:cstheme="minorHAnsi"/>
          <w:sz w:val="24"/>
          <w:szCs w:val="24"/>
        </w:rPr>
        <w:t>yüksek bir büyüme oranına (%20,67) ulaş</w:t>
      </w:r>
      <w:r w:rsidR="00684DD7" w:rsidRPr="006506E1">
        <w:rPr>
          <w:rFonts w:cstheme="minorHAnsi"/>
          <w:sz w:val="24"/>
          <w:szCs w:val="24"/>
        </w:rPr>
        <w:t xml:space="preserve">mıştır. Diğer taraftan </w:t>
      </w:r>
      <w:r w:rsidR="00EF6B31" w:rsidRPr="006506E1">
        <w:rPr>
          <w:rFonts w:cstheme="minorHAnsi"/>
          <w:sz w:val="24"/>
          <w:szCs w:val="24"/>
        </w:rPr>
        <w:t>konteynerde Türkiye’nin en büyük liman başkanlığı ola</w:t>
      </w:r>
      <w:r w:rsidR="0079084C" w:rsidRPr="006506E1">
        <w:rPr>
          <w:rFonts w:cstheme="minorHAnsi"/>
          <w:sz w:val="24"/>
          <w:szCs w:val="24"/>
        </w:rPr>
        <w:t>n</w:t>
      </w:r>
      <w:r w:rsidR="00EF6B31" w:rsidRPr="006506E1">
        <w:rPr>
          <w:rFonts w:cstheme="minorHAnsi"/>
          <w:sz w:val="24"/>
          <w:szCs w:val="24"/>
        </w:rPr>
        <w:t xml:space="preserve"> Ambarlı’nın ise </w:t>
      </w:r>
      <w:r w:rsidR="00DF1794">
        <w:rPr>
          <w:rFonts w:cstheme="minorHAnsi"/>
          <w:sz w:val="24"/>
          <w:szCs w:val="24"/>
        </w:rPr>
        <w:t>2024</w:t>
      </w:r>
      <w:r w:rsidR="00EF6B31" w:rsidRPr="006506E1">
        <w:rPr>
          <w:rFonts w:cstheme="minorHAnsi"/>
          <w:sz w:val="24"/>
          <w:szCs w:val="24"/>
        </w:rPr>
        <w:t xml:space="preserve"> yılında </w:t>
      </w:r>
      <w:r w:rsidR="00025DD2" w:rsidRPr="006506E1">
        <w:rPr>
          <w:rFonts w:cstheme="minorHAnsi"/>
          <w:sz w:val="24"/>
          <w:szCs w:val="24"/>
        </w:rPr>
        <w:t xml:space="preserve">%5 oranında düştüğü görülmektedir. Özellikle bu </w:t>
      </w:r>
      <w:r w:rsidR="0079084C" w:rsidRPr="006506E1">
        <w:rPr>
          <w:rFonts w:cstheme="minorHAnsi"/>
          <w:sz w:val="24"/>
          <w:szCs w:val="24"/>
        </w:rPr>
        <w:t>bölgeden</w:t>
      </w:r>
      <w:r w:rsidR="00025DD2" w:rsidRPr="006506E1">
        <w:rPr>
          <w:rFonts w:cstheme="minorHAnsi"/>
          <w:sz w:val="24"/>
          <w:szCs w:val="24"/>
        </w:rPr>
        <w:t xml:space="preserve"> Tekirdağ</w:t>
      </w:r>
      <w:r w:rsidR="0079084C" w:rsidRPr="006506E1">
        <w:rPr>
          <w:rFonts w:cstheme="minorHAnsi"/>
          <w:sz w:val="24"/>
          <w:szCs w:val="24"/>
        </w:rPr>
        <w:t>’a (Asyaport) giden transit ağırlıklı konteynerle birlikte Tekirdağ liman başkanlığı transit</w:t>
      </w:r>
      <w:r w:rsidR="00322DA3">
        <w:rPr>
          <w:rFonts w:cstheme="minorHAnsi"/>
          <w:sz w:val="24"/>
          <w:szCs w:val="24"/>
        </w:rPr>
        <w:t xml:space="preserve">e konu konteynerin de </w:t>
      </w:r>
      <w:r w:rsidR="0079084C" w:rsidRPr="006506E1">
        <w:rPr>
          <w:rFonts w:cstheme="minorHAnsi"/>
          <w:sz w:val="24"/>
          <w:szCs w:val="24"/>
        </w:rPr>
        <w:t xml:space="preserve">büyük katkısıyla %19,5 oranında büyümüştür. </w:t>
      </w:r>
    </w:p>
    <w:p w14:paraId="7841FAEC" w14:textId="5D54A0C2" w:rsidR="00D559C4" w:rsidRPr="006506E1" w:rsidRDefault="00BE5AB7" w:rsidP="006506E1">
      <w:pPr>
        <w:jc w:val="both"/>
        <w:rPr>
          <w:rFonts w:cstheme="minorHAnsi"/>
          <w:sz w:val="24"/>
          <w:szCs w:val="24"/>
        </w:rPr>
      </w:pPr>
      <w:r w:rsidRPr="006506E1">
        <w:rPr>
          <w:rFonts w:cstheme="minorHAnsi"/>
          <w:sz w:val="24"/>
          <w:szCs w:val="24"/>
        </w:rPr>
        <w:t xml:space="preserve">Liman başkanlıkları bazında konteynerdeki gelişmelere baktığımızda Aliağa’da </w:t>
      </w:r>
      <w:r w:rsidR="00322DA3">
        <w:rPr>
          <w:rFonts w:cstheme="minorHAnsi"/>
          <w:sz w:val="24"/>
          <w:szCs w:val="24"/>
        </w:rPr>
        <w:t xml:space="preserve">limanlarda </w:t>
      </w:r>
      <w:r w:rsidRPr="006506E1">
        <w:rPr>
          <w:rFonts w:cstheme="minorHAnsi"/>
          <w:sz w:val="24"/>
          <w:szCs w:val="24"/>
        </w:rPr>
        <w:t>inşa edilen yeni kapasitelerle beraber</w:t>
      </w:r>
      <w:r w:rsidR="006D3A00" w:rsidRPr="006506E1">
        <w:rPr>
          <w:rFonts w:cstheme="minorHAnsi"/>
          <w:sz w:val="24"/>
          <w:szCs w:val="24"/>
        </w:rPr>
        <w:t xml:space="preserve"> Aliağa liman başkanlığının 2023 yılı sonunda yakaladığı %6,16 oranındaki büyüme performansı 2024 yılında da devam etmiş, 2024 yılında Aliağa %33,64 oranında olağanüstü büyümüştür. </w:t>
      </w:r>
      <w:r w:rsidR="00460B7C" w:rsidRPr="006506E1">
        <w:rPr>
          <w:rFonts w:cstheme="minorHAnsi"/>
          <w:sz w:val="24"/>
          <w:szCs w:val="24"/>
        </w:rPr>
        <w:t>Bu gelişmeler</w:t>
      </w:r>
      <w:r w:rsidR="00B317FF">
        <w:rPr>
          <w:rFonts w:cstheme="minorHAnsi"/>
          <w:sz w:val="24"/>
          <w:szCs w:val="24"/>
        </w:rPr>
        <w:t xml:space="preserve"> Aliağa’yı büyütürken </w:t>
      </w:r>
      <w:r w:rsidR="00460B7C" w:rsidRPr="006506E1">
        <w:rPr>
          <w:rFonts w:cstheme="minorHAnsi"/>
          <w:sz w:val="24"/>
          <w:szCs w:val="24"/>
        </w:rPr>
        <w:t xml:space="preserve">bir dönem 700 bin TEU konteyner elleçleyen TCDD İzmir Alsancak limanındaki konteyner miktarları ise </w:t>
      </w:r>
      <w:r w:rsidR="00B317FF">
        <w:rPr>
          <w:rFonts w:cstheme="minorHAnsi"/>
          <w:sz w:val="24"/>
          <w:szCs w:val="24"/>
        </w:rPr>
        <w:t xml:space="preserve">hızla </w:t>
      </w:r>
      <w:r w:rsidR="00460B7C" w:rsidRPr="006506E1">
        <w:rPr>
          <w:rFonts w:cstheme="minorHAnsi"/>
          <w:sz w:val="24"/>
          <w:szCs w:val="24"/>
        </w:rPr>
        <w:t>düşmeye devam etmektedir. 2023 yılında %25,</w:t>
      </w:r>
      <w:r w:rsidR="005858F5" w:rsidRPr="006506E1">
        <w:rPr>
          <w:rFonts w:cstheme="minorHAnsi"/>
          <w:sz w:val="24"/>
          <w:szCs w:val="24"/>
        </w:rPr>
        <w:t xml:space="preserve">58 oranında düşen TCDD Alsancak limanı 2024 yılında da %9,82 oranında düşmüştür. </w:t>
      </w:r>
      <w:r w:rsidR="00B317FF">
        <w:rPr>
          <w:rFonts w:cstheme="minorHAnsi"/>
          <w:sz w:val="24"/>
          <w:szCs w:val="24"/>
        </w:rPr>
        <w:t xml:space="preserve">Limana ihtiyacı olan </w:t>
      </w:r>
      <w:r w:rsidR="00B03FBB">
        <w:rPr>
          <w:rFonts w:cstheme="minorHAnsi"/>
          <w:sz w:val="24"/>
          <w:szCs w:val="24"/>
        </w:rPr>
        <w:t>y</w:t>
      </w:r>
      <w:r w:rsidR="00902552" w:rsidRPr="006506E1">
        <w:rPr>
          <w:rFonts w:cstheme="minorHAnsi"/>
          <w:sz w:val="24"/>
          <w:szCs w:val="24"/>
        </w:rPr>
        <w:t>atırım</w:t>
      </w:r>
      <w:r w:rsidR="00B03FBB">
        <w:rPr>
          <w:rFonts w:cstheme="minorHAnsi"/>
          <w:sz w:val="24"/>
          <w:szCs w:val="24"/>
        </w:rPr>
        <w:t>ların</w:t>
      </w:r>
      <w:r w:rsidR="00902552" w:rsidRPr="006506E1">
        <w:rPr>
          <w:rFonts w:cstheme="minorHAnsi"/>
          <w:sz w:val="24"/>
          <w:szCs w:val="24"/>
        </w:rPr>
        <w:t xml:space="preserve"> yapılmaması ve limanın gerekli derinliğe ulaştıracak tarama ve diğer çalışmaların </w:t>
      </w:r>
      <w:r w:rsidR="00B03FBB">
        <w:rPr>
          <w:rFonts w:cstheme="minorHAnsi"/>
          <w:sz w:val="24"/>
          <w:szCs w:val="24"/>
        </w:rPr>
        <w:t xml:space="preserve">başlatılmaması </w:t>
      </w:r>
      <w:r w:rsidR="00902552" w:rsidRPr="006506E1">
        <w:rPr>
          <w:rFonts w:cstheme="minorHAnsi"/>
          <w:sz w:val="24"/>
          <w:szCs w:val="24"/>
        </w:rPr>
        <w:t>ha</w:t>
      </w:r>
      <w:r w:rsidR="00B03FBB">
        <w:rPr>
          <w:rFonts w:cstheme="minorHAnsi"/>
          <w:sz w:val="24"/>
          <w:szCs w:val="24"/>
        </w:rPr>
        <w:t>l</w:t>
      </w:r>
      <w:r w:rsidR="00902552" w:rsidRPr="006506E1">
        <w:rPr>
          <w:rFonts w:cstheme="minorHAnsi"/>
          <w:sz w:val="24"/>
          <w:szCs w:val="24"/>
        </w:rPr>
        <w:t xml:space="preserve">inde TCDD Alsancak limanının </w:t>
      </w:r>
      <w:r w:rsidR="00B03FBB">
        <w:rPr>
          <w:rFonts w:cstheme="minorHAnsi"/>
          <w:sz w:val="24"/>
          <w:szCs w:val="24"/>
        </w:rPr>
        <w:t xml:space="preserve">gelecek yıllarda da </w:t>
      </w:r>
      <w:r w:rsidR="00902552" w:rsidRPr="006506E1">
        <w:rPr>
          <w:rFonts w:cstheme="minorHAnsi"/>
          <w:sz w:val="24"/>
          <w:szCs w:val="24"/>
        </w:rPr>
        <w:t xml:space="preserve">yük kaybetmeye devam edeceği </w:t>
      </w:r>
      <w:r w:rsidR="00B03FBB">
        <w:rPr>
          <w:rFonts w:cstheme="minorHAnsi"/>
          <w:sz w:val="24"/>
          <w:szCs w:val="24"/>
        </w:rPr>
        <w:t>g</w:t>
      </w:r>
      <w:r w:rsidR="00902552" w:rsidRPr="006506E1">
        <w:rPr>
          <w:rFonts w:cstheme="minorHAnsi"/>
          <w:sz w:val="24"/>
          <w:szCs w:val="24"/>
        </w:rPr>
        <w:t>örülmektedir.</w:t>
      </w:r>
    </w:p>
    <w:p w14:paraId="10F11ACA" w14:textId="26F92A07" w:rsidR="00B835E2" w:rsidRDefault="00397FC8" w:rsidP="00114386">
      <w:pPr>
        <w:jc w:val="both"/>
        <w:rPr>
          <w:rFonts w:cstheme="minorHAnsi"/>
          <w:sz w:val="24"/>
          <w:szCs w:val="24"/>
        </w:rPr>
      </w:pPr>
      <w:r w:rsidRPr="006506E1">
        <w:rPr>
          <w:rFonts w:cstheme="minorHAnsi"/>
          <w:sz w:val="24"/>
          <w:szCs w:val="24"/>
        </w:rPr>
        <w:t xml:space="preserve">Diğer bir gelişmede 2022 yılındaki deprem nedeniyle hasar gören İskenderun liman başkanlığı içinde </w:t>
      </w:r>
      <w:r w:rsidR="00B03FBB">
        <w:rPr>
          <w:rFonts w:cstheme="minorHAnsi"/>
          <w:sz w:val="24"/>
          <w:szCs w:val="24"/>
        </w:rPr>
        <w:t xml:space="preserve">faaliyet gösteren </w:t>
      </w:r>
      <w:r w:rsidRPr="006506E1">
        <w:rPr>
          <w:rFonts w:cstheme="minorHAnsi"/>
          <w:sz w:val="24"/>
          <w:szCs w:val="24"/>
        </w:rPr>
        <w:t>konteyner limanlarının (Limakport ve Assanport)</w:t>
      </w:r>
      <w:r w:rsidR="007D3CE7" w:rsidRPr="006506E1">
        <w:rPr>
          <w:rFonts w:cstheme="minorHAnsi"/>
          <w:sz w:val="24"/>
          <w:szCs w:val="24"/>
        </w:rPr>
        <w:t xml:space="preserve"> yükleri </w:t>
      </w:r>
      <w:r w:rsidR="008B081E">
        <w:rPr>
          <w:rFonts w:cstheme="minorHAnsi"/>
          <w:sz w:val="24"/>
          <w:szCs w:val="24"/>
        </w:rPr>
        <w:t xml:space="preserve">deprem sonrasında </w:t>
      </w:r>
      <w:r w:rsidR="007D3CE7" w:rsidRPr="006506E1">
        <w:rPr>
          <w:rFonts w:cstheme="minorHAnsi"/>
          <w:sz w:val="24"/>
          <w:szCs w:val="24"/>
        </w:rPr>
        <w:t>geçici olarak Mersin’e gi</w:t>
      </w:r>
      <w:r w:rsidR="002D6D59" w:rsidRPr="006506E1">
        <w:rPr>
          <w:rFonts w:cstheme="minorHAnsi"/>
          <w:sz w:val="24"/>
          <w:szCs w:val="24"/>
        </w:rPr>
        <w:t>t</w:t>
      </w:r>
      <w:r w:rsidR="007D3CE7" w:rsidRPr="006506E1">
        <w:rPr>
          <w:rFonts w:cstheme="minorHAnsi"/>
          <w:sz w:val="24"/>
          <w:szCs w:val="24"/>
        </w:rPr>
        <w:t xml:space="preserve">miş, </w:t>
      </w:r>
      <w:r w:rsidR="008B081E">
        <w:rPr>
          <w:rFonts w:cstheme="minorHAnsi"/>
          <w:sz w:val="24"/>
          <w:szCs w:val="24"/>
        </w:rPr>
        <w:t xml:space="preserve">devam eden yıllarda </w:t>
      </w:r>
      <w:r w:rsidR="006D3BD5" w:rsidRPr="006506E1">
        <w:rPr>
          <w:rFonts w:cstheme="minorHAnsi"/>
          <w:sz w:val="24"/>
          <w:szCs w:val="24"/>
        </w:rPr>
        <w:t>İskenderun’daki</w:t>
      </w:r>
      <w:r w:rsidR="003D050A" w:rsidRPr="006506E1">
        <w:rPr>
          <w:rFonts w:cstheme="minorHAnsi"/>
          <w:sz w:val="24"/>
          <w:szCs w:val="24"/>
        </w:rPr>
        <w:t xml:space="preserve"> </w:t>
      </w:r>
      <w:r w:rsidR="006D3BD5" w:rsidRPr="006506E1">
        <w:rPr>
          <w:rFonts w:cstheme="minorHAnsi"/>
          <w:sz w:val="24"/>
          <w:szCs w:val="24"/>
        </w:rPr>
        <w:t>limanların</w:t>
      </w:r>
      <w:r w:rsidR="003D050A" w:rsidRPr="006506E1">
        <w:rPr>
          <w:rFonts w:cstheme="minorHAnsi"/>
          <w:sz w:val="24"/>
          <w:szCs w:val="24"/>
        </w:rPr>
        <w:t xml:space="preserve"> normalleşmesiyle beraber bu yükler yeniden İskenderun limanlarına </w:t>
      </w:r>
      <w:r w:rsidR="006D3BD5" w:rsidRPr="006506E1">
        <w:rPr>
          <w:rFonts w:cstheme="minorHAnsi"/>
          <w:sz w:val="24"/>
          <w:szCs w:val="24"/>
        </w:rPr>
        <w:t xml:space="preserve">geri </w:t>
      </w:r>
      <w:r w:rsidR="003D050A" w:rsidRPr="006506E1">
        <w:rPr>
          <w:rFonts w:cstheme="minorHAnsi"/>
          <w:sz w:val="24"/>
          <w:szCs w:val="24"/>
        </w:rPr>
        <w:t xml:space="preserve">dönmüştür Ayrıca </w:t>
      </w:r>
      <w:r w:rsidR="006D3BD5" w:rsidRPr="006506E1">
        <w:rPr>
          <w:rFonts w:cstheme="minorHAnsi"/>
          <w:sz w:val="24"/>
          <w:szCs w:val="24"/>
        </w:rPr>
        <w:t xml:space="preserve">depremden etkilenen illerin tamamının İskenderun ve Mersin bölgesindeki limanların hinterlandında olması nedeniyle hala </w:t>
      </w:r>
      <w:r w:rsidR="003D050A" w:rsidRPr="006506E1">
        <w:rPr>
          <w:rFonts w:cstheme="minorHAnsi"/>
          <w:sz w:val="24"/>
          <w:szCs w:val="24"/>
        </w:rPr>
        <w:t xml:space="preserve">ilave yük üretimi açısından </w:t>
      </w:r>
      <w:r w:rsidR="00CB4300" w:rsidRPr="006506E1">
        <w:rPr>
          <w:rFonts w:cstheme="minorHAnsi"/>
          <w:sz w:val="24"/>
          <w:szCs w:val="24"/>
        </w:rPr>
        <w:t>bölge</w:t>
      </w:r>
      <w:r w:rsidR="00114386">
        <w:rPr>
          <w:rFonts w:cstheme="minorHAnsi"/>
          <w:sz w:val="24"/>
          <w:szCs w:val="24"/>
        </w:rPr>
        <w:t>deki sanayi ve ticari faaliyetlerin hala n</w:t>
      </w:r>
      <w:r w:rsidR="00CB4300" w:rsidRPr="006506E1">
        <w:rPr>
          <w:rFonts w:cstheme="minorHAnsi"/>
          <w:sz w:val="24"/>
          <w:szCs w:val="24"/>
        </w:rPr>
        <w:t xml:space="preserve">ormalleşemediğini göstermektedir. Mersin liman başkanlığı konteynerde </w:t>
      </w:r>
      <w:r w:rsidR="00A068BD" w:rsidRPr="006506E1">
        <w:rPr>
          <w:rFonts w:cstheme="minorHAnsi"/>
          <w:sz w:val="24"/>
          <w:szCs w:val="24"/>
        </w:rPr>
        <w:t xml:space="preserve">%13,75, 2023 yılında %2,39 düştükten sonra 2024 yılında da bir önceki yıla göre </w:t>
      </w:r>
      <w:r w:rsidR="00890971" w:rsidRPr="006506E1">
        <w:rPr>
          <w:rFonts w:cstheme="minorHAnsi"/>
          <w:sz w:val="24"/>
          <w:szCs w:val="24"/>
        </w:rPr>
        <w:t xml:space="preserve">%2,69 oranında düşmüştür. </w:t>
      </w:r>
    </w:p>
    <w:p w14:paraId="312FD18C" w14:textId="77777777" w:rsidR="00040373" w:rsidRDefault="00040373" w:rsidP="00114386">
      <w:pPr>
        <w:jc w:val="both"/>
        <w:rPr>
          <w:rFonts w:cstheme="minorHAnsi"/>
          <w:sz w:val="24"/>
          <w:szCs w:val="24"/>
        </w:rPr>
      </w:pPr>
    </w:p>
    <w:p w14:paraId="546EBC78" w14:textId="77777777" w:rsidR="00040373" w:rsidRPr="00114386" w:rsidRDefault="00040373" w:rsidP="00114386">
      <w:pPr>
        <w:jc w:val="both"/>
        <w:rPr>
          <w:rFonts w:cstheme="minorHAnsi"/>
          <w:sz w:val="24"/>
          <w:szCs w:val="24"/>
        </w:rPr>
      </w:pPr>
    </w:p>
    <w:p w14:paraId="2513F1F0" w14:textId="63721FFF" w:rsidR="005041A5" w:rsidRPr="00114386" w:rsidRDefault="00323D60" w:rsidP="007869FA">
      <w:pPr>
        <w:pStyle w:val="ListeParagraf"/>
        <w:numPr>
          <w:ilvl w:val="1"/>
          <w:numId w:val="1"/>
        </w:numPr>
        <w:tabs>
          <w:tab w:val="left" w:pos="567"/>
        </w:tabs>
        <w:ind w:left="0" w:firstLine="0"/>
        <w:jc w:val="both"/>
        <w:rPr>
          <w:rFonts w:cstheme="minorHAnsi"/>
          <w:b/>
          <w:bCs/>
          <w:sz w:val="24"/>
          <w:szCs w:val="24"/>
        </w:rPr>
      </w:pPr>
      <w:r w:rsidRPr="00114386">
        <w:rPr>
          <w:rFonts w:cstheme="minorHAnsi"/>
          <w:b/>
          <w:bCs/>
          <w:sz w:val="24"/>
          <w:szCs w:val="24"/>
        </w:rPr>
        <w:lastRenderedPageBreak/>
        <w:t xml:space="preserve">Bölgelere Göre Konteynerde </w:t>
      </w:r>
      <w:r w:rsidR="00E1612D" w:rsidRPr="00F92BEF">
        <w:rPr>
          <w:rFonts w:cstheme="minorHAnsi"/>
          <w:b/>
          <w:bCs/>
          <w:sz w:val="24"/>
          <w:szCs w:val="24"/>
        </w:rPr>
        <w:t>Tonajlar ve Bölgelerin Payı</w:t>
      </w:r>
    </w:p>
    <w:p w14:paraId="7A8DB73F" w14:textId="7F40AB33" w:rsidR="00902552" w:rsidRPr="006506E1" w:rsidRDefault="00F502E6" w:rsidP="006506E1">
      <w:pPr>
        <w:jc w:val="both"/>
        <w:rPr>
          <w:rFonts w:cstheme="minorHAnsi"/>
          <w:sz w:val="24"/>
          <w:szCs w:val="24"/>
        </w:rPr>
      </w:pPr>
      <w:r>
        <w:rPr>
          <w:rFonts w:cstheme="minorHAnsi"/>
          <w:sz w:val="24"/>
          <w:szCs w:val="24"/>
        </w:rPr>
        <w:t>L</w:t>
      </w:r>
      <w:r w:rsidR="003923C1" w:rsidRPr="006506E1">
        <w:rPr>
          <w:rFonts w:cstheme="minorHAnsi"/>
          <w:sz w:val="24"/>
          <w:szCs w:val="24"/>
        </w:rPr>
        <w:t>iman başkanlıkları bazındaki konteyner miktarlarına bağlı olarak yüksek büyüme oranları</w:t>
      </w:r>
      <w:r>
        <w:rPr>
          <w:rFonts w:cstheme="minorHAnsi"/>
          <w:sz w:val="24"/>
          <w:szCs w:val="24"/>
        </w:rPr>
        <w:t xml:space="preserve">nın gerçekleştiği </w:t>
      </w:r>
      <w:r w:rsidR="003923C1" w:rsidRPr="006506E1">
        <w:rPr>
          <w:rFonts w:cstheme="minorHAnsi"/>
          <w:sz w:val="24"/>
          <w:szCs w:val="24"/>
        </w:rPr>
        <w:t xml:space="preserve">liman başkanlıklarının bulunduğu bölgelerin </w:t>
      </w:r>
      <w:r>
        <w:rPr>
          <w:rFonts w:cstheme="minorHAnsi"/>
          <w:sz w:val="24"/>
          <w:szCs w:val="24"/>
        </w:rPr>
        <w:t xml:space="preserve">konteynerdeki </w:t>
      </w:r>
      <w:r w:rsidR="007D4D89" w:rsidRPr="006506E1">
        <w:rPr>
          <w:rFonts w:cstheme="minorHAnsi"/>
          <w:sz w:val="24"/>
          <w:szCs w:val="24"/>
        </w:rPr>
        <w:t xml:space="preserve">payı artarken, miktarları düşen liman başkanlıklarının olduğu bölgelerin </w:t>
      </w:r>
      <w:r>
        <w:rPr>
          <w:rFonts w:cstheme="minorHAnsi"/>
          <w:sz w:val="24"/>
          <w:szCs w:val="24"/>
        </w:rPr>
        <w:t xml:space="preserve">konteynerdeki </w:t>
      </w:r>
      <w:r w:rsidR="007D4D89" w:rsidRPr="006506E1">
        <w:rPr>
          <w:rFonts w:cstheme="minorHAnsi"/>
          <w:sz w:val="24"/>
          <w:szCs w:val="24"/>
        </w:rPr>
        <w:t xml:space="preserve">payları azalmaktadır. </w:t>
      </w:r>
    </w:p>
    <w:p w14:paraId="75B3019D" w14:textId="0B5E2D20" w:rsidR="00323D60" w:rsidRPr="00F502E6" w:rsidRDefault="00902552" w:rsidP="00902552">
      <w:pPr>
        <w:jc w:val="center"/>
        <w:rPr>
          <w:rFonts w:cstheme="minorHAnsi"/>
          <w:b/>
          <w:bCs/>
          <w:sz w:val="22"/>
          <w:szCs w:val="22"/>
        </w:rPr>
      </w:pPr>
      <w:r w:rsidRPr="00F502E6">
        <w:rPr>
          <w:rFonts w:cstheme="minorHAnsi"/>
          <w:b/>
          <w:bCs/>
          <w:sz w:val="22"/>
          <w:szCs w:val="22"/>
          <w:u w:val="single"/>
        </w:rPr>
        <w:t>Tablo-2</w:t>
      </w:r>
      <w:r w:rsidR="00F502E6" w:rsidRPr="00F502E6">
        <w:rPr>
          <w:rFonts w:cstheme="minorHAnsi"/>
          <w:b/>
          <w:bCs/>
          <w:sz w:val="22"/>
          <w:szCs w:val="22"/>
          <w:u w:val="single"/>
        </w:rPr>
        <w:t>2</w:t>
      </w:r>
      <w:r w:rsidRPr="00F502E6">
        <w:rPr>
          <w:rFonts w:cstheme="minorHAnsi"/>
          <w:b/>
          <w:bCs/>
          <w:sz w:val="22"/>
          <w:szCs w:val="22"/>
          <w:u w:val="single"/>
        </w:rPr>
        <w:t>:</w:t>
      </w:r>
      <w:r w:rsidRPr="00F502E6">
        <w:rPr>
          <w:rFonts w:cstheme="minorHAnsi"/>
          <w:sz w:val="22"/>
          <w:szCs w:val="22"/>
        </w:rPr>
        <w:t xml:space="preserve"> </w:t>
      </w:r>
      <w:r w:rsidRPr="00F502E6">
        <w:rPr>
          <w:rFonts w:cstheme="minorHAnsi"/>
          <w:b/>
          <w:bCs/>
          <w:sz w:val="22"/>
          <w:szCs w:val="22"/>
        </w:rPr>
        <w:t>Liman Başkanlıkları Bazında Konteynerde Tonaj ve Büyüme Oranları (2022-2023)</w:t>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340"/>
        <w:gridCol w:w="1440"/>
        <w:gridCol w:w="1200"/>
      </w:tblGrid>
      <w:tr w:rsidR="00B574E0" w:rsidRPr="00B574E0" w14:paraId="13FDFAEB" w14:textId="77777777" w:rsidTr="00902552">
        <w:trPr>
          <w:trHeight w:val="590"/>
          <w:jc w:val="center"/>
        </w:trPr>
        <w:tc>
          <w:tcPr>
            <w:tcW w:w="1200" w:type="dxa"/>
            <w:shd w:val="clear" w:color="000000" w:fill="FFFF00"/>
            <w:vAlign w:val="center"/>
            <w:hideMark/>
          </w:tcPr>
          <w:p w14:paraId="0E719E35"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Bölge</w:t>
            </w:r>
          </w:p>
        </w:tc>
        <w:tc>
          <w:tcPr>
            <w:tcW w:w="1200" w:type="dxa"/>
            <w:shd w:val="clear" w:color="000000" w:fill="FFFF00"/>
            <w:vAlign w:val="center"/>
            <w:hideMark/>
          </w:tcPr>
          <w:p w14:paraId="37CF0E1A"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2023 Tonaj (TEU)</w:t>
            </w:r>
          </w:p>
        </w:tc>
        <w:tc>
          <w:tcPr>
            <w:tcW w:w="1200" w:type="dxa"/>
            <w:shd w:val="clear" w:color="000000" w:fill="FFFF00"/>
            <w:vAlign w:val="center"/>
            <w:hideMark/>
          </w:tcPr>
          <w:p w14:paraId="1D5CD3CA"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2023 Bölge Payı</w:t>
            </w:r>
          </w:p>
        </w:tc>
        <w:tc>
          <w:tcPr>
            <w:tcW w:w="1340" w:type="dxa"/>
            <w:shd w:val="clear" w:color="000000" w:fill="FFFF00"/>
            <w:vAlign w:val="center"/>
            <w:hideMark/>
          </w:tcPr>
          <w:p w14:paraId="0D35A5C8"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2024 Tonaj (TEU)</w:t>
            </w:r>
          </w:p>
        </w:tc>
        <w:tc>
          <w:tcPr>
            <w:tcW w:w="1440" w:type="dxa"/>
            <w:shd w:val="clear" w:color="000000" w:fill="FFFF00"/>
            <w:vAlign w:val="center"/>
            <w:hideMark/>
          </w:tcPr>
          <w:p w14:paraId="5E25A260"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2024 Bölge Payı</w:t>
            </w:r>
          </w:p>
        </w:tc>
        <w:tc>
          <w:tcPr>
            <w:tcW w:w="1200" w:type="dxa"/>
            <w:shd w:val="clear" w:color="000000" w:fill="FFFF00"/>
            <w:vAlign w:val="center"/>
            <w:hideMark/>
          </w:tcPr>
          <w:p w14:paraId="64D329F8"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2023-2024 Değişim</w:t>
            </w:r>
          </w:p>
        </w:tc>
      </w:tr>
      <w:tr w:rsidR="00B574E0" w:rsidRPr="00B574E0" w14:paraId="75D8278E" w14:textId="77777777" w:rsidTr="00902552">
        <w:trPr>
          <w:trHeight w:val="300"/>
          <w:jc w:val="center"/>
        </w:trPr>
        <w:tc>
          <w:tcPr>
            <w:tcW w:w="1200" w:type="dxa"/>
            <w:shd w:val="clear" w:color="auto" w:fill="auto"/>
            <w:vAlign w:val="center"/>
            <w:hideMark/>
          </w:tcPr>
          <w:p w14:paraId="118FCB76" w14:textId="77777777" w:rsidR="00B574E0" w:rsidRPr="00B574E0" w:rsidRDefault="00B574E0" w:rsidP="00B574E0">
            <w:pPr>
              <w:spacing w:after="0" w:line="240" w:lineRule="auto"/>
              <w:jc w:val="both"/>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MARMARA</w:t>
            </w:r>
          </w:p>
        </w:tc>
        <w:tc>
          <w:tcPr>
            <w:tcW w:w="1200" w:type="dxa"/>
            <w:shd w:val="clear" w:color="auto" w:fill="auto"/>
            <w:vAlign w:val="center"/>
            <w:hideMark/>
          </w:tcPr>
          <w:p w14:paraId="547D2949"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7.861.365</w:t>
            </w:r>
          </w:p>
        </w:tc>
        <w:tc>
          <w:tcPr>
            <w:tcW w:w="1200" w:type="dxa"/>
            <w:shd w:val="clear" w:color="auto" w:fill="auto"/>
            <w:vAlign w:val="center"/>
            <w:hideMark/>
          </w:tcPr>
          <w:p w14:paraId="60A5B0EE"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63%</w:t>
            </w:r>
          </w:p>
        </w:tc>
        <w:tc>
          <w:tcPr>
            <w:tcW w:w="1340" w:type="dxa"/>
            <w:shd w:val="clear" w:color="auto" w:fill="auto"/>
            <w:vAlign w:val="center"/>
            <w:hideMark/>
          </w:tcPr>
          <w:p w14:paraId="4F818B61"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8.267.909</w:t>
            </w:r>
          </w:p>
        </w:tc>
        <w:tc>
          <w:tcPr>
            <w:tcW w:w="1440" w:type="dxa"/>
            <w:shd w:val="clear" w:color="auto" w:fill="auto"/>
            <w:vAlign w:val="center"/>
            <w:hideMark/>
          </w:tcPr>
          <w:p w14:paraId="37CCD7D0"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61%</w:t>
            </w:r>
          </w:p>
        </w:tc>
        <w:tc>
          <w:tcPr>
            <w:tcW w:w="1200" w:type="dxa"/>
            <w:shd w:val="clear" w:color="auto" w:fill="auto"/>
            <w:vAlign w:val="center"/>
            <w:hideMark/>
          </w:tcPr>
          <w:p w14:paraId="48801CA8"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5%</w:t>
            </w:r>
          </w:p>
        </w:tc>
      </w:tr>
      <w:tr w:rsidR="00B574E0" w:rsidRPr="00B574E0" w14:paraId="3A2F3106" w14:textId="77777777" w:rsidTr="00902552">
        <w:trPr>
          <w:trHeight w:val="300"/>
          <w:jc w:val="center"/>
        </w:trPr>
        <w:tc>
          <w:tcPr>
            <w:tcW w:w="1200" w:type="dxa"/>
            <w:shd w:val="clear" w:color="auto" w:fill="auto"/>
            <w:vAlign w:val="center"/>
            <w:hideMark/>
          </w:tcPr>
          <w:p w14:paraId="00725A37" w14:textId="77777777" w:rsidR="00B574E0" w:rsidRPr="00B574E0" w:rsidRDefault="00B574E0" w:rsidP="00B574E0">
            <w:pPr>
              <w:spacing w:after="0" w:line="240" w:lineRule="auto"/>
              <w:jc w:val="both"/>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AKDENİZ</w:t>
            </w:r>
          </w:p>
        </w:tc>
        <w:tc>
          <w:tcPr>
            <w:tcW w:w="1200" w:type="dxa"/>
            <w:shd w:val="clear" w:color="auto" w:fill="auto"/>
            <w:vAlign w:val="center"/>
            <w:hideMark/>
          </w:tcPr>
          <w:p w14:paraId="3DFBAB8D"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2.677.416</w:t>
            </w:r>
          </w:p>
        </w:tc>
        <w:tc>
          <w:tcPr>
            <w:tcW w:w="1200" w:type="dxa"/>
            <w:shd w:val="clear" w:color="auto" w:fill="auto"/>
            <w:vAlign w:val="center"/>
            <w:hideMark/>
          </w:tcPr>
          <w:p w14:paraId="7AF10335"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21%</w:t>
            </w:r>
          </w:p>
        </w:tc>
        <w:tc>
          <w:tcPr>
            <w:tcW w:w="1340" w:type="dxa"/>
            <w:shd w:val="clear" w:color="auto" w:fill="auto"/>
            <w:vAlign w:val="center"/>
            <w:hideMark/>
          </w:tcPr>
          <w:p w14:paraId="0B14FC65"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2.747.347</w:t>
            </w:r>
          </w:p>
        </w:tc>
        <w:tc>
          <w:tcPr>
            <w:tcW w:w="1440" w:type="dxa"/>
            <w:shd w:val="clear" w:color="auto" w:fill="auto"/>
            <w:vAlign w:val="center"/>
            <w:hideMark/>
          </w:tcPr>
          <w:p w14:paraId="3F237726"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20%</w:t>
            </w:r>
          </w:p>
        </w:tc>
        <w:tc>
          <w:tcPr>
            <w:tcW w:w="1200" w:type="dxa"/>
            <w:shd w:val="clear" w:color="auto" w:fill="auto"/>
            <w:vAlign w:val="center"/>
            <w:hideMark/>
          </w:tcPr>
          <w:p w14:paraId="4E9EB915" w14:textId="77777777" w:rsidR="00B574E0" w:rsidRPr="00B574E0" w:rsidRDefault="00B574E0" w:rsidP="00B574E0">
            <w:pPr>
              <w:spacing w:after="0" w:line="240" w:lineRule="auto"/>
              <w:jc w:val="center"/>
              <w:rPr>
                <w:rFonts w:ascii="Calibri" w:eastAsia="Times New Roman" w:hAnsi="Calibri" w:cs="Calibri"/>
                <w:b/>
                <w:bCs/>
                <w:color w:val="FF0000"/>
                <w:lang w:eastAsia="tr-TR"/>
              </w:rPr>
            </w:pPr>
            <w:r w:rsidRPr="00B574E0">
              <w:rPr>
                <w:rFonts w:ascii="Calibri" w:eastAsia="Times New Roman" w:hAnsi="Calibri" w:cs="Calibri"/>
                <w:b/>
                <w:bCs/>
                <w:color w:val="FF0000"/>
                <w:lang w:eastAsia="tr-TR"/>
              </w:rPr>
              <w:t>3%</w:t>
            </w:r>
          </w:p>
        </w:tc>
      </w:tr>
      <w:tr w:rsidR="00B574E0" w:rsidRPr="00B574E0" w14:paraId="282F70CA" w14:textId="77777777" w:rsidTr="00902552">
        <w:trPr>
          <w:trHeight w:val="300"/>
          <w:jc w:val="center"/>
        </w:trPr>
        <w:tc>
          <w:tcPr>
            <w:tcW w:w="1200" w:type="dxa"/>
            <w:shd w:val="clear" w:color="auto" w:fill="auto"/>
            <w:vAlign w:val="center"/>
            <w:hideMark/>
          </w:tcPr>
          <w:p w14:paraId="3F787737" w14:textId="77777777" w:rsidR="00B574E0" w:rsidRPr="00B574E0" w:rsidRDefault="00B574E0" w:rsidP="00B574E0">
            <w:pPr>
              <w:spacing w:after="0" w:line="240" w:lineRule="auto"/>
              <w:jc w:val="both"/>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EGE</w:t>
            </w:r>
          </w:p>
        </w:tc>
        <w:tc>
          <w:tcPr>
            <w:tcW w:w="1200" w:type="dxa"/>
            <w:shd w:val="clear" w:color="auto" w:fill="auto"/>
            <w:vAlign w:val="center"/>
            <w:hideMark/>
          </w:tcPr>
          <w:p w14:paraId="0B825020"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1.876.303</w:t>
            </w:r>
          </w:p>
        </w:tc>
        <w:tc>
          <w:tcPr>
            <w:tcW w:w="1200" w:type="dxa"/>
            <w:shd w:val="clear" w:color="auto" w:fill="auto"/>
            <w:vAlign w:val="center"/>
            <w:hideMark/>
          </w:tcPr>
          <w:p w14:paraId="2148989E"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15%</w:t>
            </w:r>
          </w:p>
        </w:tc>
        <w:tc>
          <w:tcPr>
            <w:tcW w:w="1340" w:type="dxa"/>
            <w:shd w:val="clear" w:color="auto" w:fill="auto"/>
            <w:vAlign w:val="center"/>
            <w:hideMark/>
          </w:tcPr>
          <w:p w14:paraId="7913B9B1"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2.381.136</w:t>
            </w:r>
          </w:p>
        </w:tc>
        <w:tc>
          <w:tcPr>
            <w:tcW w:w="1440" w:type="dxa"/>
            <w:shd w:val="clear" w:color="auto" w:fill="auto"/>
            <w:vAlign w:val="center"/>
            <w:hideMark/>
          </w:tcPr>
          <w:p w14:paraId="04C7A268"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18%</w:t>
            </w:r>
          </w:p>
        </w:tc>
        <w:tc>
          <w:tcPr>
            <w:tcW w:w="1200" w:type="dxa"/>
            <w:shd w:val="clear" w:color="auto" w:fill="auto"/>
            <w:vAlign w:val="center"/>
            <w:hideMark/>
          </w:tcPr>
          <w:p w14:paraId="79AE20DB"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27%</w:t>
            </w:r>
          </w:p>
        </w:tc>
      </w:tr>
      <w:tr w:rsidR="00B574E0" w:rsidRPr="00B574E0" w14:paraId="3DAFED7C" w14:textId="77777777" w:rsidTr="00902552">
        <w:trPr>
          <w:trHeight w:val="300"/>
          <w:jc w:val="center"/>
        </w:trPr>
        <w:tc>
          <w:tcPr>
            <w:tcW w:w="1200" w:type="dxa"/>
            <w:shd w:val="clear" w:color="auto" w:fill="auto"/>
            <w:vAlign w:val="center"/>
            <w:hideMark/>
          </w:tcPr>
          <w:p w14:paraId="3F06B958" w14:textId="77777777" w:rsidR="00B574E0" w:rsidRPr="00B574E0" w:rsidRDefault="00B574E0" w:rsidP="00B574E0">
            <w:pPr>
              <w:spacing w:after="0" w:line="240" w:lineRule="auto"/>
              <w:jc w:val="both"/>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KARADENİZ</w:t>
            </w:r>
          </w:p>
        </w:tc>
        <w:tc>
          <w:tcPr>
            <w:tcW w:w="1200" w:type="dxa"/>
            <w:shd w:val="clear" w:color="auto" w:fill="auto"/>
            <w:vAlign w:val="center"/>
            <w:hideMark/>
          </w:tcPr>
          <w:p w14:paraId="00013525"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141.436</w:t>
            </w:r>
          </w:p>
        </w:tc>
        <w:tc>
          <w:tcPr>
            <w:tcW w:w="1200" w:type="dxa"/>
            <w:shd w:val="clear" w:color="auto" w:fill="auto"/>
            <w:vAlign w:val="center"/>
            <w:hideMark/>
          </w:tcPr>
          <w:p w14:paraId="49608D8E"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1%</w:t>
            </w:r>
          </w:p>
        </w:tc>
        <w:tc>
          <w:tcPr>
            <w:tcW w:w="1340" w:type="dxa"/>
            <w:shd w:val="clear" w:color="auto" w:fill="auto"/>
            <w:vAlign w:val="center"/>
            <w:hideMark/>
          </w:tcPr>
          <w:p w14:paraId="18235483"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133.338</w:t>
            </w:r>
          </w:p>
        </w:tc>
        <w:tc>
          <w:tcPr>
            <w:tcW w:w="1440" w:type="dxa"/>
            <w:shd w:val="clear" w:color="auto" w:fill="auto"/>
            <w:vAlign w:val="center"/>
            <w:hideMark/>
          </w:tcPr>
          <w:p w14:paraId="1E6DD15A"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1%</w:t>
            </w:r>
          </w:p>
        </w:tc>
        <w:tc>
          <w:tcPr>
            <w:tcW w:w="1200" w:type="dxa"/>
            <w:shd w:val="clear" w:color="auto" w:fill="auto"/>
            <w:vAlign w:val="center"/>
            <w:hideMark/>
          </w:tcPr>
          <w:p w14:paraId="7605202A"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-6%</w:t>
            </w:r>
          </w:p>
        </w:tc>
      </w:tr>
      <w:tr w:rsidR="00B574E0" w:rsidRPr="00B574E0" w14:paraId="34D8A552" w14:textId="77777777" w:rsidTr="00902552">
        <w:trPr>
          <w:trHeight w:val="300"/>
          <w:jc w:val="center"/>
        </w:trPr>
        <w:tc>
          <w:tcPr>
            <w:tcW w:w="1200" w:type="dxa"/>
            <w:shd w:val="clear" w:color="auto" w:fill="FAE2D5" w:themeFill="accent2" w:themeFillTint="33"/>
            <w:vAlign w:val="center"/>
            <w:hideMark/>
          </w:tcPr>
          <w:p w14:paraId="21367C33" w14:textId="77777777" w:rsidR="00B574E0" w:rsidRPr="00B574E0" w:rsidRDefault="00B574E0" w:rsidP="00B574E0">
            <w:pPr>
              <w:spacing w:after="0" w:line="240" w:lineRule="auto"/>
              <w:jc w:val="both"/>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TOPLAM</w:t>
            </w:r>
          </w:p>
        </w:tc>
        <w:tc>
          <w:tcPr>
            <w:tcW w:w="1200" w:type="dxa"/>
            <w:shd w:val="clear" w:color="auto" w:fill="FAE2D5" w:themeFill="accent2" w:themeFillTint="33"/>
            <w:vAlign w:val="center"/>
            <w:hideMark/>
          </w:tcPr>
          <w:p w14:paraId="42477550"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12.556.519</w:t>
            </w:r>
          </w:p>
        </w:tc>
        <w:tc>
          <w:tcPr>
            <w:tcW w:w="1200" w:type="dxa"/>
            <w:shd w:val="clear" w:color="auto" w:fill="FAE2D5" w:themeFill="accent2" w:themeFillTint="33"/>
            <w:vAlign w:val="center"/>
            <w:hideMark/>
          </w:tcPr>
          <w:p w14:paraId="4A6C4E29"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theme="minorHAnsi"/>
                <w:b/>
                <w:bCs/>
                <w:color w:val="000000"/>
                <w:lang w:eastAsia="tr-TR"/>
              </w:rPr>
              <w:t>100%</w:t>
            </w:r>
          </w:p>
        </w:tc>
        <w:tc>
          <w:tcPr>
            <w:tcW w:w="1340" w:type="dxa"/>
            <w:shd w:val="clear" w:color="auto" w:fill="FAE2D5" w:themeFill="accent2" w:themeFillTint="33"/>
            <w:vAlign w:val="center"/>
            <w:hideMark/>
          </w:tcPr>
          <w:p w14:paraId="37FF5B67"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13.529.730</w:t>
            </w:r>
          </w:p>
        </w:tc>
        <w:tc>
          <w:tcPr>
            <w:tcW w:w="1440" w:type="dxa"/>
            <w:shd w:val="clear" w:color="auto" w:fill="FAE2D5" w:themeFill="accent2" w:themeFillTint="33"/>
            <w:vAlign w:val="center"/>
            <w:hideMark/>
          </w:tcPr>
          <w:p w14:paraId="5A625675"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theme="minorHAnsi"/>
                <w:b/>
                <w:bCs/>
                <w:color w:val="000000"/>
                <w:lang w:eastAsia="tr-TR"/>
              </w:rPr>
              <w:t>100%</w:t>
            </w:r>
          </w:p>
        </w:tc>
        <w:tc>
          <w:tcPr>
            <w:tcW w:w="1200" w:type="dxa"/>
            <w:shd w:val="clear" w:color="auto" w:fill="FAE2D5" w:themeFill="accent2" w:themeFillTint="33"/>
            <w:vAlign w:val="center"/>
            <w:hideMark/>
          </w:tcPr>
          <w:p w14:paraId="099BB0C2" w14:textId="77777777" w:rsidR="00B574E0" w:rsidRPr="00B574E0" w:rsidRDefault="00B574E0" w:rsidP="00B574E0">
            <w:pPr>
              <w:spacing w:after="0" w:line="240" w:lineRule="auto"/>
              <w:jc w:val="center"/>
              <w:rPr>
                <w:rFonts w:ascii="Calibri" w:eastAsia="Times New Roman" w:hAnsi="Calibri" w:cs="Calibri"/>
                <w:b/>
                <w:bCs/>
                <w:color w:val="000000"/>
                <w:lang w:eastAsia="tr-TR"/>
              </w:rPr>
            </w:pPr>
            <w:r w:rsidRPr="00B574E0">
              <w:rPr>
                <w:rFonts w:ascii="Calibri" w:eastAsia="Times New Roman" w:hAnsi="Calibri" w:cs="Calibri"/>
                <w:b/>
                <w:bCs/>
                <w:color w:val="000000"/>
                <w:lang w:eastAsia="tr-TR"/>
              </w:rPr>
              <w:t>7,75%</w:t>
            </w:r>
          </w:p>
        </w:tc>
      </w:tr>
    </w:tbl>
    <w:p w14:paraId="7FACE201" w14:textId="77777777" w:rsidR="00F56211" w:rsidRDefault="00F56211" w:rsidP="002B6338">
      <w:pPr>
        <w:pStyle w:val="ListeParagraf"/>
        <w:tabs>
          <w:tab w:val="left" w:pos="284"/>
        </w:tabs>
        <w:ind w:left="0"/>
        <w:jc w:val="both"/>
        <w:rPr>
          <w:rFonts w:cstheme="minorHAnsi"/>
          <w:b/>
          <w:bCs/>
        </w:rPr>
      </w:pPr>
    </w:p>
    <w:p w14:paraId="3127EE94" w14:textId="2FC588D0" w:rsidR="00B97965" w:rsidRPr="00AE3B9F" w:rsidRDefault="006C1DF8" w:rsidP="00AE3B9F">
      <w:pPr>
        <w:jc w:val="both"/>
        <w:rPr>
          <w:rFonts w:cstheme="minorHAnsi"/>
          <w:sz w:val="24"/>
          <w:szCs w:val="24"/>
        </w:rPr>
      </w:pPr>
      <w:r w:rsidRPr="006506E1">
        <w:rPr>
          <w:rFonts w:cstheme="minorHAnsi"/>
          <w:sz w:val="24"/>
          <w:szCs w:val="24"/>
        </w:rPr>
        <w:t>Tablo-2</w:t>
      </w:r>
      <w:r w:rsidR="00F502E6">
        <w:rPr>
          <w:rFonts w:cstheme="minorHAnsi"/>
          <w:sz w:val="24"/>
          <w:szCs w:val="24"/>
        </w:rPr>
        <w:t>2</w:t>
      </w:r>
      <w:r w:rsidRPr="006506E1">
        <w:rPr>
          <w:rFonts w:cstheme="minorHAnsi"/>
          <w:sz w:val="24"/>
          <w:szCs w:val="24"/>
        </w:rPr>
        <w:t>’</w:t>
      </w:r>
      <w:r w:rsidR="00F502E6">
        <w:rPr>
          <w:rFonts w:cstheme="minorHAnsi"/>
          <w:sz w:val="24"/>
          <w:szCs w:val="24"/>
        </w:rPr>
        <w:t>y</w:t>
      </w:r>
      <w:r w:rsidRPr="006506E1">
        <w:rPr>
          <w:rFonts w:cstheme="minorHAnsi"/>
          <w:sz w:val="24"/>
          <w:szCs w:val="24"/>
        </w:rPr>
        <w:t xml:space="preserve">e baktığımızda </w:t>
      </w:r>
      <w:r w:rsidR="00FD34F4">
        <w:rPr>
          <w:rFonts w:cstheme="minorHAnsi"/>
          <w:sz w:val="24"/>
          <w:szCs w:val="24"/>
        </w:rPr>
        <w:t>2023 yılında konteynerde %63 olan MARMARA bölgesinin payı Ambarlı gibi Türkiye’de en fazla konteyner elleçleyen liman başkanlığındaki düşü</w:t>
      </w:r>
      <w:r w:rsidR="00B97965">
        <w:rPr>
          <w:rFonts w:cstheme="minorHAnsi"/>
          <w:sz w:val="24"/>
          <w:szCs w:val="24"/>
        </w:rPr>
        <w:t>şlerin de etkisiyle 2024 yılında %61’e inmiştir. Y</w:t>
      </w:r>
      <w:r w:rsidRPr="006506E1">
        <w:rPr>
          <w:rFonts w:cstheme="minorHAnsi"/>
          <w:sz w:val="24"/>
          <w:szCs w:val="24"/>
        </w:rPr>
        <w:t>üksek oranda</w:t>
      </w:r>
      <w:r w:rsidR="00B57003" w:rsidRPr="006506E1">
        <w:rPr>
          <w:rFonts w:cstheme="minorHAnsi"/>
          <w:sz w:val="24"/>
          <w:szCs w:val="24"/>
        </w:rPr>
        <w:t xml:space="preserve"> büyüyen Aliağa liman başkanlığının etkisiyle 2023 yılında </w:t>
      </w:r>
      <w:r w:rsidR="00B95FFF">
        <w:rPr>
          <w:rFonts w:cstheme="minorHAnsi"/>
          <w:sz w:val="24"/>
          <w:szCs w:val="24"/>
        </w:rPr>
        <w:t xml:space="preserve">konteynerde </w:t>
      </w:r>
      <w:r w:rsidR="00B57003" w:rsidRPr="006506E1">
        <w:rPr>
          <w:rFonts w:cstheme="minorHAnsi"/>
          <w:sz w:val="24"/>
          <w:szCs w:val="24"/>
        </w:rPr>
        <w:t xml:space="preserve">%15 olan EGE </w:t>
      </w:r>
      <w:r w:rsidR="00046E19" w:rsidRPr="006506E1">
        <w:rPr>
          <w:rFonts w:cstheme="minorHAnsi"/>
          <w:sz w:val="24"/>
          <w:szCs w:val="24"/>
        </w:rPr>
        <w:t>b</w:t>
      </w:r>
      <w:r w:rsidR="00B57003" w:rsidRPr="006506E1">
        <w:rPr>
          <w:rFonts w:cstheme="minorHAnsi"/>
          <w:sz w:val="24"/>
          <w:szCs w:val="24"/>
        </w:rPr>
        <w:t xml:space="preserve">ölgesinin payı </w:t>
      </w:r>
      <w:r w:rsidR="00913340" w:rsidRPr="006506E1">
        <w:rPr>
          <w:rFonts w:cstheme="minorHAnsi"/>
          <w:sz w:val="24"/>
          <w:szCs w:val="24"/>
        </w:rPr>
        <w:t>%18’e çıkarken</w:t>
      </w:r>
      <w:r w:rsidR="00B95FFF">
        <w:rPr>
          <w:rFonts w:cstheme="minorHAnsi"/>
          <w:sz w:val="24"/>
          <w:szCs w:val="24"/>
        </w:rPr>
        <w:t>,</w:t>
      </w:r>
      <w:r w:rsidR="00913340" w:rsidRPr="006506E1">
        <w:rPr>
          <w:rFonts w:cstheme="minorHAnsi"/>
          <w:sz w:val="24"/>
          <w:szCs w:val="24"/>
        </w:rPr>
        <w:t xml:space="preserve"> yine </w:t>
      </w:r>
      <w:r w:rsidR="00046E19" w:rsidRPr="006506E1">
        <w:rPr>
          <w:rFonts w:cstheme="minorHAnsi"/>
          <w:sz w:val="24"/>
          <w:szCs w:val="24"/>
        </w:rPr>
        <w:t>AKDENİZ bölgesin</w:t>
      </w:r>
      <w:r w:rsidR="00CB08C3" w:rsidRPr="006506E1">
        <w:rPr>
          <w:rFonts w:cstheme="minorHAnsi"/>
          <w:sz w:val="24"/>
          <w:szCs w:val="24"/>
        </w:rPr>
        <w:t xml:space="preserve">deki limanların deprem etkisinden çıkmış olması rağmen bölge hinterlandındaki durum nedeniyle 2023 yılında %21 olan payı 2024 yılında %20’ye inmiştir. </w:t>
      </w:r>
      <w:r w:rsidR="007A212E" w:rsidRPr="006506E1">
        <w:rPr>
          <w:rFonts w:cstheme="minorHAnsi"/>
          <w:sz w:val="24"/>
          <w:szCs w:val="24"/>
        </w:rPr>
        <w:t>Konteyner yükü üretme konusunda hala ciddi sıkıntıları olan KAREDENİZ bölgesinin 2023 yılında</w:t>
      </w:r>
      <w:r w:rsidR="009E7072" w:rsidRPr="006506E1">
        <w:rPr>
          <w:rFonts w:cstheme="minorHAnsi"/>
          <w:sz w:val="24"/>
          <w:szCs w:val="24"/>
        </w:rPr>
        <w:t xml:space="preserve"> ! olan payı 2024 yılında da değişmemiştir.</w:t>
      </w:r>
    </w:p>
    <w:p w14:paraId="6B48F457" w14:textId="3C46BEA4" w:rsidR="00F56211" w:rsidRDefault="00D559C4" w:rsidP="00D559C4">
      <w:pPr>
        <w:jc w:val="center"/>
        <w:rPr>
          <w:rFonts w:cstheme="minorHAnsi"/>
          <w:b/>
          <w:bCs/>
        </w:rPr>
      </w:pPr>
      <w:r>
        <w:rPr>
          <w:rFonts w:cstheme="minorHAnsi"/>
          <w:b/>
          <w:bCs/>
          <w:u w:val="single"/>
        </w:rPr>
        <w:t>Grafik</w:t>
      </w:r>
      <w:r w:rsidRPr="00410154">
        <w:rPr>
          <w:rFonts w:cstheme="minorHAnsi"/>
          <w:b/>
          <w:bCs/>
          <w:u w:val="single"/>
        </w:rPr>
        <w:t>-</w:t>
      </w:r>
      <w:r>
        <w:rPr>
          <w:rFonts w:cstheme="minorHAnsi"/>
          <w:b/>
          <w:bCs/>
          <w:u w:val="single"/>
        </w:rPr>
        <w:t>7</w:t>
      </w:r>
      <w:r w:rsidRPr="00410154">
        <w:rPr>
          <w:rFonts w:cstheme="minorHAnsi"/>
          <w:b/>
          <w:bCs/>
          <w:u w:val="single"/>
        </w:rPr>
        <w:t>:</w:t>
      </w:r>
      <w:r w:rsidRPr="00410154">
        <w:rPr>
          <w:rFonts w:cstheme="minorHAnsi"/>
        </w:rPr>
        <w:t xml:space="preserve"> </w:t>
      </w:r>
      <w:r w:rsidRPr="00F2033C">
        <w:rPr>
          <w:rFonts w:cstheme="minorHAnsi"/>
          <w:b/>
          <w:bCs/>
        </w:rPr>
        <w:t xml:space="preserve">Türkiye’de </w:t>
      </w:r>
      <w:r>
        <w:rPr>
          <w:rFonts w:cstheme="minorHAnsi"/>
          <w:b/>
          <w:bCs/>
        </w:rPr>
        <w:t>Konteynerde</w:t>
      </w:r>
      <w:r w:rsidRPr="00F2033C">
        <w:rPr>
          <w:rFonts w:cstheme="minorHAnsi"/>
          <w:b/>
          <w:bCs/>
        </w:rPr>
        <w:t xml:space="preserve"> Bölgelerin Payları (20</w:t>
      </w:r>
      <w:r>
        <w:rPr>
          <w:rFonts w:cstheme="minorHAnsi"/>
          <w:b/>
          <w:bCs/>
        </w:rPr>
        <w:t>23</w:t>
      </w:r>
      <w:r w:rsidRPr="00F2033C">
        <w:rPr>
          <w:rFonts w:cstheme="minorHAnsi"/>
          <w:b/>
          <w:bCs/>
        </w:rPr>
        <w:t>)</w:t>
      </w:r>
    </w:p>
    <w:p w14:paraId="7C412350" w14:textId="6D881BC2" w:rsidR="00323D60" w:rsidRDefault="00D559C4" w:rsidP="00D559C4">
      <w:pPr>
        <w:pStyle w:val="ListeParagraf"/>
        <w:tabs>
          <w:tab w:val="left" w:pos="284"/>
        </w:tabs>
        <w:ind w:left="0"/>
        <w:jc w:val="center"/>
        <w:rPr>
          <w:rFonts w:cstheme="minorHAnsi"/>
          <w:b/>
          <w:bCs/>
        </w:rPr>
      </w:pPr>
      <w:r>
        <w:rPr>
          <w:noProof/>
        </w:rPr>
        <w:drawing>
          <wp:inline distT="0" distB="0" distL="0" distR="0" wp14:anchorId="6FB37BD6" wp14:editId="34C7AB91">
            <wp:extent cx="4572000" cy="3048000"/>
            <wp:effectExtent l="0" t="0" r="0" b="0"/>
            <wp:docPr id="1039781662" name="Grafik 1">
              <a:extLst xmlns:a="http://schemas.openxmlformats.org/drawingml/2006/main">
                <a:ext uri="{FF2B5EF4-FFF2-40B4-BE49-F238E27FC236}">
                  <a16:creationId xmlns:a16="http://schemas.microsoft.com/office/drawing/2014/main" id="{84D6B0C5-D9E4-F1C7-89A2-BD4DA2FB1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F7021F" w14:textId="77777777" w:rsidR="00040373" w:rsidRDefault="00040373" w:rsidP="00D559C4">
      <w:pPr>
        <w:jc w:val="center"/>
        <w:rPr>
          <w:rFonts w:cstheme="minorHAnsi"/>
          <w:b/>
          <w:bCs/>
          <w:u w:val="single"/>
        </w:rPr>
      </w:pPr>
    </w:p>
    <w:p w14:paraId="24DC4E42" w14:textId="37412A0D" w:rsidR="00323D60" w:rsidRDefault="00D559C4" w:rsidP="00D559C4">
      <w:pPr>
        <w:jc w:val="center"/>
        <w:rPr>
          <w:rFonts w:cstheme="minorHAnsi"/>
          <w:b/>
          <w:bCs/>
        </w:rPr>
      </w:pPr>
      <w:r>
        <w:rPr>
          <w:rFonts w:cstheme="minorHAnsi"/>
          <w:b/>
          <w:bCs/>
          <w:u w:val="single"/>
        </w:rPr>
        <w:lastRenderedPageBreak/>
        <w:t>Grafik</w:t>
      </w:r>
      <w:r w:rsidRPr="00410154">
        <w:rPr>
          <w:rFonts w:cstheme="minorHAnsi"/>
          <w:b/>
          <w:bCs/>
          <w:u w:val="single"/>
        </w:rPr>
        <w:t>-</w:t>
      </w:r>
      <w:r>
        <w:rPr>
          <w:rFonts w:cstheme="minorHAnsi"/>
          <w:b/>
          <w:bCs/>
          <w:u w:val="single"/>
        </w:rPr>
        <w:t>7</w:t>
      </w:r>
      <w:r w:rsidRPr="00410154">
        <w:rPr>
          <w:rFonts w:cstheme="minorHAnsi"/>
          <w:b/>
          <w:bCs/>
          <w:u w:val="single"/>
        </w:rPr>
        <w:t>:</w:t>
      </w:r>
      <w:r w:rsidRPr="00410154">
        <w:rPr>
          <w:rFonts w:cstheme="minorHAnsi"/>
        </w:rPr>
        <w:t xml:space="preserve"> </w:t>
      </w:r>
      <w:r w:rsidRPr="00F2033C">
        <w:rPr>
          <w:rFonts w:cstheme="minorHAnsi"/>
          <w:b/>
          <w:bCs/>
        </w:rPr>
        <w:t xml:space="preserve">Türkiye’de </w:t>
      </w:r>
      <w:r>
        <w:rPr>
          <w:rFonts w:cstheme="minorHAnsi"/>
          <w:b/>
          <w:bCs/>
        </w:rPr>
        <w:t>Konteynerde</w:t>
      </w:r>
      <w:r w:rsidRPr="00F2033C">
        <w:rPr>
          <w:rFonts w:cstheme="minorHAnsi"/>
          <w:b/>
          <w:bCs/>
        </w:rPr>
        <w:t xml:space="preserve"> Bölgelerin Payları (20</w:t>
      </w:r>
      <w:r>
        <w:rPr>
          <w:rFonts w:cstheme="minorHAnsi"/>
          <w:b/>
          <w:bCs/>
        </w:rPr>
        <w:t>24</w:t>
      </w:r>
      <w:r w:rsidRPr="00F2033C">
        <w:rPr>
          <w:rFonts w:cstheme="minorHAnsi"/>
          <w:b/>
          <w:bCs/>
        </w:rPr>
        <w:t>)</w:t>
      </w:r>
    </w:p>
    <w:p w14:paraId="2867C8B0" w14:textId="4C9AF590" w:rsidR="005041A5" w:rsidRDefault="00B83EBA" w:rsidP="00D559C4">
      <w:pPr>
        <w:pStyle w:val="ListeParagraf"/>
        <w:tabs>
          <w:tab w:val="left" w:pos="284"/>
        </w:tabs>
        <w:ind w:left="0"/>
        <w:jc w:val="center"/>
        <w:rPr>
          <w:rFonts w:cstheme="minorHAnsi"/>
          <w:b/>
          <w:bCs/>
        </w:rPr>
      </w:pPr>
      <w:r>
        <w:rPr>
          <w:noProof/>
        </w:rPr>
        <w:drawing>
          <wp:inline distT="0" distB="0" distL="0" distR="0" wp14:anchorId="6FCB74C5" wp14:editId="6EECAC8B">
            <wp:extent cx="4572000" cy="2898842"/>
            <wp:effectExtent l="0" t="0" r="0" b="15875"/>
            <wp:docPr id="2044312549" name="Grafik 1">
              <a:extLst xmlns:a="http://schemas.openxmlformats.org/drawingml/2006/main">
                <a:ext uri="{FF2B5EF4-FFF2-40B4-BE49-F238E27FC236}">
                  <a16:creationId xmlns:a16="http://schemas.microsoft.com/office/drawing/2014/main" id="{5D54942A-FE2F-4662-9ACE-DDD169ACA3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FA4AB5" w14:textId="77777777" w:rsidR="00BD110A" w:rsidRDefault="00BD110A" w:rsidP="000D310F">
      <w:pPr>
        <w:rPr>
          <w:rFonts w:cstheme="minorHAnsi"/>
        </w:rPr>
      </w:pPr>
    </w:p>
    <w:p w14:paraId="46EA24D3" w14:textId="454872A9" w:rsidR="00AE3B9F" w:rsidRPr="00BD110A" w:rsidRDefault="00BD110A" w:rsidP="00BD110A">
      <w:pPr>
        <w:pStyle w:val="ListeParagraf"/>
        <w:numPr>
          <w:ilvl w:val="0"/>
          <w:numId w:val="1"/>
        </w:numPr>
        <w:tabs>
          <w:tab w:val="left" w:pos="284"/>
        </w:tabs>
        <w:ind w:left="0" w:firstLine="0"/>
        <w:jc w:val="both"/>
        <w:rPr>
          <w:rFonts w:cstheme="minorHAnsi"/>
          <w:b/>
          <w:bCs/>
          <w:sz w:val="40"/>
          <w:szCs w:val="40"/>
        </w:rPr>
      </w:pPr>
      <w:r w:rsidRPr="00BD110A">
        <w:rPr>
          <w:rFonts w:cstheme="minorHAnsi"/>
          <w:b/>
          <w:bCs/>
          <w:sz w:val="40"/>
          <w:szCs w:val="40"/>
        </w:rPr>
        <w:t>GENEL DEĞERLENDİRME</w:t>
      </w:r>
    </w:p>
    <w:p w14:paraId="78C6E939" w14:textId="79E48D51" w:rsidR="00095B98" w:rsidRDefault="00F80DED" w:rsidP="00095B98">
      <w:pPr>
        <w:jc w:val="both"/>
        <w:rPr>
          <w:rFonts w:cstheme="minorHAnsi"/>
          <w:sz w:val="24"/>
          <w:szCs w:val="24"/>
        </w:rPr>
      </w:pPr>
      <w:r>
        <w:rPr>
          <w:rFonts w:cstheme="minorHAnsi"/>
          <w:sz w:val="24"/>
          <w:szCs w:val="24"/>
        </w:rPr>
        <w:t xml:space="preserve">2023 yılında </w:t>
      </w:r>
      <w:r w:rsidR="00124A7B">
        <w:rPr>
          <w:rFonts w:cstheme="minorHAnsi"/>
          <w:sz w:val="24"/>
          <w:szCs w:val="24"/>
        </w:rPr>
        <w:t xml:space="preserve">limanlarımızda elleçlenen </w:t>
      </w:r>
      <w:r>
        <w:rPr>
          <w:rFonts w:cstheme="minorHAnsi"/>
          <w:sz w:val="24"/>
          <w:szCs w:val="24"/>
        </w:rPr>
        <w:t xml:space="preserve">Toplam </w:t>
      </w:r>
      <w:r w:rsidR="00BC5CF2">
        <w:rPr>
          <w:rFonts w:cstheme="minorHAnsi"/>
          <w:sz w:val="24"/>
          <w:szCs w:val="24"/>
        </w:rPr>
        <w:t>Y</w:t>
      </w:r>
      <w:r>
        <w:rPr>
          <w:rFonts w:cstheme="minorHAnsi"/>
          <w:sz w:val="24"/>
          <w:szCs w:val="24"/>
        </w:rPr>
        <w:t xml:space="preserve">ükte </w:t>
      </w:r>
      <w:r w:rsidR="00BC5CF2">
        <w:rPr>
          <w:rFonts w:cstheme="minorHAnsi"/>
          <w:sz w:val="24"/>
          <w:szCs w:val="24"/>
        </w:rPr>
        <w:t xml:space="preserve">%4 oranında </w:t>
      </w:r>
      <w:r w:rsidR="00124A7B">
        <w:rPr>
          <w:rFonts w:cstheme="minorHAnsi"/>
          <w:sz w:val="24"/>
          <w:szCs w:val="24"/>
        </w:rPr>
        <w:t xml:space="preserve">gerçekleşen daralmadan sonra 2024 yılında Konteynerdeki artıştan dolayı </w:t>
      </w:r>
      <w:r w:rsidR="0010474B">
        <w:rPr>
          <w:rFonts w:cstheme="minorHAnsi"/>
          <w:sz w:val="24"/>
          <w:szCs w:val="24"/>
        </w:rPr>
        <w:t xml:space="preserve">elleçlenen yük miktarı %2 büyümüştür. </w:t>
      </w:r>
      <w:r w:rsidR="00095B98" w:rsidRPr="005D7DFD">
        <w:rPr>
          <w:rFonts w:cstheme="minorHAnsi"/>
          <w:sz w:val="24"/>
          <w:szCs w:val="24"/>
        </w:rPr>
        <w:t xml:space="preserve">Kargo tipleri açısından </w:t>
      </w:r>
      <w:r w:rsidR="005D7930">
        <w:rPr>
          <w:rFonts w:cstheme="minorHAnsi"/>
          <w:sz w:val="24"/>
          <w:szCs w:val="24"/>
        </w:rPr>
        <w:t>t</w:t>
      </w:r>
      <w:r w:rsidR="00095B98" w:rsidRPr="005D7DFD">
        <w:rPr>
          <w:rFonts w:cstheme="minorHAnsi"/>
          <w:sz w:val="24"/>
          <w:szCs w:val="24"/>
        </w:rPr>
        <w:t>oplam yük içinde birlikte değerlendirildiğinde %6</w:t>
      </w:r>
      <w:r w:rsidR="005D7930">
        <w:rPr>
          <w:rFonts w:cstheme="minorHAnsi"/>
          <w:sz w:val="24"/>
          <w:szCs w:val="24"/>
        </w:rPr>
        <w:t>2</w:t>
      </w:r>
      <w:r w:rsidR="00095B98" w:rsidRPr="005D7DFD">
        <w:rPr>
          <w:rFonts w:cstheme="minorHAnsi"/>
          <w:sz w:val="24"/>
          <w:szCs w:val="24"/>
        </w:rPr>
        <w:t xml:space="preserve"> ile en büyük payı </w:t>
      </w:r>
      <w:r w:rsidR="00B9556E" w:rsidRPr="005D7DFD">
        <w:rPr>
          <w:rFonts w:cstheme="minorHAnsi"/>
          <w:sz w:val="24"/>
          <w:szCs w:val="24"/>
        </w:rPr>
        <w:t xml:space="preserve">kuru dökme </w:t>
      </w:r>
      <w:r w:rsidR="00B9556E">
        <w:rPr>
          <w:rFonts w:cstheme="minorHAnsi"/>
          <w:sz w:val="24"/>
          <w:szCs w:val="24"/>
        </w:rPr>
        <w:t xml:space="preserve">yük </w:t>
      </w:r>
      <w:r w:rsidR="00B9556E" w:rsidRPr="005D7DFD">
        <w:rPr>
          <w:rFonts w:cstheme="minorHAnsi"/>
          <w:sz w:val="24"/>
          <w:szCs w:val="24"/>
        </w:rPr>
        <w:t xml:space="preserve">ve dökme sıvı </w:t>
      </w:r>
      <w:r w:rsidR="00B9556E">
        <w:rPr>
          <w:rFonts w:cstheme="minorHAnsi"/>
          <w:sz w:val="24"/>
          <w:szCs w:val="24"/>
        </w:rPr>
        <w:t>y</w:t>
      </w:r>
      <w:r w:rsidR="00B9556E" w:rsidRPr="005D7DFD">
        <w:rPr>
          <w:rFonts w:cstheme="minorHAnsi"/>
          <w:sz w:val="24"/>
          <w:szCs w:val="24"/>
        </w:rPr>
        <w:t xml:space="preserve">ükün </w:t>
      </w:r>
      <w:r w:rsidR="00B9556E">
        <w:rPr>
          <w:rFonts w:cstheme="minorHAnsi"/>
          <w:sz w:val="24"/>
          <w:szCs w:val="24"/>
        </w:rPr>
        <w:t>2023</w:t>
      </w:r>
      <w:r w:rsidR="005D7930">
        <w:rPr>
          <w:rFonts w:cstheme="minorHAnsi"/>
          <w:sz w:val="24"/>
          <w:szCs w:val="24"/>
        </w:rPr>
        <w:t xml:space="preserve"> yılından sonra 2024 yılında da düşmüş olması limanlarımız açısından olumsuz bir gelişmedir. </w:t>
      </w:r>
      <w:r w:rsidR="00B9556E">
        <w:rPr>
          <w:rFonts w:cstheme="minorHAnsi"/>
          <w:sz w:val="24"/>
          <w:szCs w:val="24"/>
        </w:rPr>
        <w:t xml:space="preserve">2024 yılında özellikle </w:t>
      </w:r>
      <w:r w:rsidR="00CA4E25">
        <w:rPr>
          <w:rFonts w:cstheme="minorHAnsi"/>
          <w:sz w:val="24"/>
          <w:szCs w:val="24"/>
        </w:rPr>
        <w:t xml:space="preserve">transit konteynerde yakalanan artış Limancılık sektörünü pozitife taşımıştır. </w:t>
      </w:r>
    </w:p>
    <w:p w14:paraId="506C23DB" w14:textId="42DB8194" w:rsidR="00B97965" w:rsidRPr="00E54A16" w:rsidRDefault="00CA4E25" w:rsidP="00E54A16">
      <w:pPr>
        <w:jc w:val="both"/>
        <w:rPr>
          <w:rFonts w:cstheme="minorHAnsi"/>
          <w:sz w:val="24"/>
          <w:szCs w:val="24"/>
        </w:rPr>
      </w:pPr>
      <w:r>
        <w:rPr>
          <w:rFonts w:cstheme="minorHAnsi"/>
          <w:sz w:val="24"/>
          <w:szCs w:val="24"/>
        </w:rPr>
        <w:t xml:space="preserve">Her ne kadar 2025 yılının ilk ayı (Ocak) son derece olumlu başlamış olsa da küresel gelişmelerin ikinci Trump dönemiyle birçok risk taşıdığı da görülmektedir. </w:t>
      </w:r>
      <w:r w:rsidR="00F9673E" w:rsidRPr="00E54A16">
        <w:rPr>
          <w:rFonts w:cstheme="minorHAnsi"/>
          <w:sz w:val="24"/>
          <w:szCs w:val="24"/>
        </w:rPr>
        <w:t>Trump’ın temel ekonomik yaklaşımı olan korumacılı</w:t>
      </w:r>
      <w:r>
        <w:rPr>
          <w:rFonts w:cstheme="minorHAnsi"/>
          <w:sz w:val="24"/>
          <w:szCs w:val="24"/>
        </w:rPr>
        <w:t>ğın</w:t>
      </w:r>
      <w:r w:rsidR="00F9673E" w:rsidRPr="00E54A16">
        <w:rPr>
          <w:rFonts w:cstheme="minorHAnsi"/>
          <w:sz w:val="24"/>
          <w:szCs w:val="24"/>
        </w:rPr>
        <w:t xml:space="preserve"> küresel ticaretin önünde büyük bir engel teşkil ed</w:t>
      </w:r>
      <w:r w:rsidR="00A9374E">
        <w:rPr>
          <w:rFonts w:cstheme="minorHAnsi"/>
          <w:sz w:val="24"/>
          <w:szCs w:val="24"/>
        </w:rPr>
        <w:t>e</w:t>
      </w:r>
      <w:r>
        <w:rPr>
          <w:rFonts w:cstheme="minorHAnsi"/>
          <w:sz w:val="24"/>
          <w:szCs w:val="24"/>
        </w:rPr>
        <w:t xml:space="preserve">ceği öngörülmektedir. </w:t>
      </w:r>
      <w:r w:rsidR="00F9673E" w:rsidRPr="00E54A16">
        <w:rPr>
          <w:rFonts w:cstheme="minorHAnsi"/>
          <w:sz w:val="24"/>
          <w:szCs w:val="24"/>
        </w:rPr>
        <w:t xml:space="preserve">ABD’nin Çin ile ticaret savaşlarını yeniden alevlendirmesi, </w:t>
      </w:r>
      <w:r w:rsidR="00A9374E">
        <w:rPr>
          <w:rFonts w:cstheme="minorHAnsi"/>
          <w:sz w:val="24"/>
          <w:szCs w:val="24"/>
        </w:rPr>
        <w:t xml:space="preserve">AB ile yeni gümrük </w:t>
      </w:r>
      <w:r w:rsidR="00664CEB">
        <w:rPr>
          <w:rFonts w:cstheme="minorHAnsi"/>
          <w:sz w:val="24"/>
          <w:szCs w:val="24"/>
        </w:rPr>
        <w:t xml:space="preserve">vergisi çatışmalarını uygulamaya koyması </w:t>
      </w:r>
      <w:r w:rsidR="00F9673E" w:rsidRPr="00E54A16">
        <w:rPr>
          <w:rFonts w:cstheme="minorHAnsi"/>
          <w:sz w:val="24"/>
          <w:szCs w:val="24"/>
        </w:rPr>
        <w:t xml:space="preserve">yalnızca </w:t>
      </w:r>
      <w:r w:rsidR="00664CEB">
        <w:rPr>
          <w:rFonts w:cstheme="minorHAnsi"/>
          <w:sz w:val="24"/>
          <w:szCs w:val="24"/>
        </w:rPr>
        <w:t xml:space="preserve">ABD ile bu ülkeler </w:t>
      </w:r>
      <w:r w:rsidR="00F9673E" w:rsidRPr="00E54A16">
        <w:rPr>
          <w:rFonts w:cstheme="minorHAnsi"/>
          <w:sz w:val="24"/>
          <w:szCs w:val="24"/>
        </w:rPr>
        <w:t xml:space="preserve">arasındaki ilişkileri değil, küresel tedarik zincirlerini ve </w:t>
      </w:r>
      <w:r w:rsidR="00664CEB">
        <w:rPr>
          <w:rFonts w:cstheme="minorHAnsi"/>
          <w:sz w:val="24"/>
          <w:szCs w:val="24"/>
        </w:rPr>
        <w:t xml:space="preserve">küresel </w:t>
      </w:r>
      <w:r w:rsidR="00F9673E" w:rsidRPr="00E54A16">
        <w:rPr>
          <w:rFonts w:cstheme="minorHAnsi"/>
          <w:sz w:val="24"/>
          <w:szCs w:val="24"/>
        </w:rPr>
        <w:t>ticaret hacmini de olumsuz etkileyebilir</w:t>
      </w:r>
      <w:r>
        <w:rPr>
          <w:rFonts w:cstheme="minorHAnsi"/>
          <w:sz w:val="24"/>
          <w:szCs w:val="24"/>
        </w:rPr>
        <w:t>, d</w:t>
      </w:r>
      <w:r w:rsidR="00F9673E" w:rsidRPr="00E54A16">
        <w:rPr>
          <w:rFonts w:cstheme="minorHAnsi"/>
          <w:sz w:val="24"/>
          <w:szCs w:val="24"/>
        </w:rPr>
        <w:t xml:space="preserve">aha yüksek gümrük tarifeleri ve ticaret anlaşmalarının yeniden müzakeresi, </w:t>
      </w:r>
      <w:r w:rsidR="00FD2770">
        <w:rPr>
          <w:rFonts w:cstheme="minorHAnsi"/>
          <w:sz w:val="24"/>
          <w:szCs w:val="24"/>
        </w:rPr>
        <w:t xml:space="preserve">halihazırda büyüme sıkıntıları ve yüksek enflasyonla uğraşan </w:t>
      </w:r>
      <w:r w:rsidR="00F9673E" w:rsidRPr="00E54A16">
        <w:rPr>
          <w:rFonts w:cstheme="minorHAnsi"/>
          <w:sz w:val="24"/>
          <w:szCs w:val="24"/>
        </w:rPr>
        <w:t>dünya ekonomisini yavaşlata</w:t>
      </w:r>
      <w:r w:rsidR="00FD2770">
        <w:rPr>
          <w:rFonts w:cstheme="minorHAnsi"/>
          <w:sz w:val="24"/>
          <w:szCs w:val="24"/>
        </w:rPr>
        <w:t xml:space="preserve">bilecektir. </w:t>
      </w:r>
    </w:p>
    <w:p w14:paraId="7BD292A4" w14:textId="1CC6BCEA" w:rsidR="00426DF3" w:rsidRDefault="00CB48CC" w:rsidP="00426DF3">
      <w:pPr>
        <w:jc w:val="both"/>
        <w:rPr>
          <w:rFonts w:cstheme="minorHAnsi"/>
          <w:sz w:val="24"/>
          <w:szCs w:val="24"/>
        </w:rPr>
      </w:pPr>
      <w:r w:rsidRPr="00E54A16">
        <w:rPr>
          <w:rFonts w:cstheme="minorHAnsi"/>
          <w:sz w:val="24"/>
          <w:szCs w:val="24"/>
        </w:rPr>
        <w:t xml:space="preserve">Buna ek olarak, Trump’ın geleneksel enerji kaynaklarını destekleyen politikaları, küresel yenilenebilir enerji girişimlerini baltalayabilir. ABD’nin çevre politikalarından geri adım atması, iklim değişikliğiyle mücadeleye öncelik veren ülkelerle gerilim yaratabilir ve uzun vadede ekonomik riskler </w:t>
      </w:r>
      <w:r w:rsidR="00A9374E">
        <w:rPr>
          <w:rFonts w:cstheme="minorHAnsi"/>
          <w:sz w:val="24"/>
          <w:szCs w:val="24"/>
        </w:rPr>
        <w:t xml:space="preserve">de </w:t>
      </w:r>
      <w:r w:rsidRPr="00E54A16">
        <w:rPr>
          <w:rFonts w:cstheme="minorHAnsi"/>
          <w:sz w:val="24"/>
          <w:szCs w:val="24"/>
        </w:rPr>
        <w:t xml:space="preserve">doğurabilir. Bu belirsizlik, piyasalarda dalgalanmalara yol açarak </w:t>
      </w:r>
      <w:r w:rsidRPr="00E54A16">
        <w:rPr>
          <w:rFonts w:cstheme="minorHAnsi"/>
          <w:sz w:val="24"/>
          <w:szCs w:val="24"/>
        </w:rPr>
        <w:lastRenderedPageBreak/>
        <w:t>yatırımcıların güvenli limanlar aramasına neden olabilir. Bu durum,</w:t>
      </w:r>
      <w:r w:rsidR="00A9374E">
        <w:rPr>
          <w:rFonts w:cstheme="minorHAnsi"/>
          <w:sz w:val="24"/>
          <w:szCs w:val="24"/>
        </w:rPr>
        <w:t xml:space="preserve"> Türkiye </w:t>
      </w:r>
      <w:r w:rsidR="00664CEB">
        <w:rPr>
          <w:rFonts w:cstheme="minorHAnsi"/>
          <w:sz w:val="24"/>
          <w:szCs w:val="24"/>
        </w:rPr>
        <w:t xml:space="preserve">gibi </w:t>
      </w:r>
      <w:r w:rsidR="00664CEB" w:rsidRPr="00E54A16">
        <w:rPr>
          <w:rFonts w:cstheme="minorHAnsi"/>
          <w:sz w:val="24"/>
          <w:szCs w:val="24"/>
        </w:rPr>
        <w:t>gelişmekte</w:t>
      </w:r>
      <w:r w:rsidRPr="00E54A16">
        <w:rPr>
          <w:rFonts w:cstheme="minorHAnsi"/>
          <w:sz w:val="24"/>
          <w:szCs w:val="24"/>
        </w:rPr>
        <w:t xml:space="preserve"> olan piyasalardan sermaye çıkışını hızlandırarak bu ülkelerdeki borçlanma maliyetlerini artırabilir ve büyümeyi yavaşlatabilir.</w:t>
      </w:r>
      <w:r w:rsidR="00664CEB">
        <w:rPr>
          <w:rFonts w:cstheme="minorHAnsi"/>
          <w:sz w:val="24"/>
          <w:szCs w:val="24"/>
        </w:rPr>
        <w:t xml:space="preserve"> </w:t>
      </w:r>
      <w:r w:rsidR="001346ED">
        <w:rPr>
          <w:rFonts w:cstheme="minorHAnsi"/>
          <w:sz w:val="24"/>
          <w:szCs w:val="24"/>
        </w:rPr>
        <w:t>Kısaca ABD’nin k</w:t>
      </w:r>
      <w:r w:rsidR="00426DF3" w:rsidRPr="00E54A16">
        <w:rPr>
          <w:rFonts w:cstheme="minorHAnsi"/>
          <w:sz w:val="24"/>
          <w:szCs w:val="24"/>
        </w:rPr>
        <w:t xml:space="preserve">orumacı politikaların uygulanması gelişmekte olan ülkeler için de zorlu bir döneme işaret ederken, ABD'nin ithalatı azaltma yönünde adımlar atmasının bu ülkelere sermaye akışını yavaşlatabileceği ve küresel büyüme üzerinde baskı yaratabileceği </w:t>
      </w:r>
      <w:r w:rsidR="00C377D7">
        <w:rPr>
          <w:rFonts w:cstheme="minorHAnsi"/>
          <w:sz w:val="24"/>
          <w:szCs w:val="24"/>
        </w:rPr>
        <w:t xml:space="preserve">beklenebilir. </w:t>
      </w:r>
    </w:p>
    <w:p w14:paraId="55240382" w14:textId="2F1E847B" w:rsidR="00BA155C" w:rsidRDefault="00BA155C" w:rsidP="00426DF3">
      <w:pPr>
        <w:jc w:val="both"/>
        <w:rPr>
          <w:rFonts w:cstheme="minorHAnsi"/>
          <w:sz w:val="24"/>
          <w:szCs w:val="24"/>
        </w:rPr>
      </w:pPr>
      <w:r>
        <w:rPr>
          <w:rFonts w:cstheme="minorHAnsi"/>
          <w:sz w:val="24"/>
          <w:szCs w:val="24"/>
        </w:rPr>
        <w:t xml:space="preserve">2025 yılıyla birlikte başlayan yeni korumacılık ve ticaret savaşlarının Türkiye’ye ve dış ticaretimize olası </w:t>
      </w:r>
      <w:r w:rsidR="006C3668">
        <w:rPr>
          <w:rFonts w:cstheme="minorHAnsi"/>
          <w:sz w:val="24"/>
          <w:szCs w:val="24"/>
        </w:rPr>
        <w:t>etkileri</w:t>
      </w:r>
      <w:r>
        <w:rPr>
          <w:rFonts w:cstheme="minorHAnsi"/>
          <w:sz w:val="24"/>
          <w:szCs w:val="24"/>
        </w:rPr>
        <w:t xml:space="preserve"> doğal olarak limanlarda elleçlenen yükler için de önemli riskler yaratmaya devam edecektir. Bu açıdan 2025 yılı daha önceki yıllara göre birçok gelişmeye ve riske açık görünmektedir. </w:t>
      </w:r>
    </w:p>
    <w:p w14:paraId="33814898" w14:textId="58508B6C" w:rsidR="0046285C" w:rsidRPr="00E54A16" w:rsidRDefault="0046285C" w:rsidP="00E54A16">
      <w:pPr>
        <w:jc w:val="both"/>
        <w:rPr>
          <w:rFonts w:cstheme="minorHAnsi"/>
          <w:sz w:val="24"/>
          <w:szCs w:val="24"/>
        </w:rPr>
      </w:pPr>
    </w:p>
    <w:p w14:paraId="0ED299AC" w14:textId="77777777" w:rsidR="00B46D69" w:rsidRPr="00E54A16" w:rsidRDefault="00B46D69" w:rsidP="00E54A16">
      <w:pPr>
        <w:jc w:val="both"/>
        <w:rPr>
          <w:rFonts w:cstheme="minorHAnsi"/>
          <w:sz w:val="24"/>
          <w:szCs w:val="24"/>
        </w:rPr>
      </w:pPr>
    </w:p>
    <w:p w14:paraId="71DE5724" w14:textId="77777777" w:rsidR="00B46D69" w:rsidRDefault="00B46D69" w:rsidP="000D310F">
      <w:pPr>
        <w:rPr>
          <w:rFonts w:cstheme="minorHAnsi"/>
        </w:rPr>
      </w:pPr>
    </w:p>
    <w:p w14:paraId="72EDAD73" w14:textId="77777777" w:rsidR="00040373" w:rsidRDefault="00040373" w:rsidP="000D310F">
      <w:pPr>
        <w:rPr>
          <w:rFonts w:cstheme="minorHAnsi"/>
        </w:rPr>
      </w:pPr>
    </w:p>
    <w:p w14:paraId="3B0EE9E1" w14:textId="77777777" w:rsidR="00040373" w:rsidRDefault="00040373" w:rsidP="000D310F">
      <w:pPr>
        <w:rPr>
          <w:rFonts w:cstheme="minorHAnsi"/>
        </w:rPr>
      </w:pPr>
    </w:p>
    <w:p w14:paraId="1A4B1497" w14:textId="77777777" w:rsidR="00040373" w:rsidRDefault="00040373" w:rsidP="000D310F">
      <w:pPr>
        <w:rPr>
          <w:rFonts w:cstheme="minorHAnsi"/>
        </w:rPr>
      </w:pPr>
    </w:p>
    <w:p w14:paraId="355CD832" w14:textId="77777777" w:rsidR="00040373" w:rsidRDefault="00040373" w:rsidP="000D310F">
      <w:pPr>
        <w:rPr>
          <w:rFonts w:cstheme="minorHAnsi"/>
        </w:rPr>
      </w:pPr>
    </w:p>
    <w:p w14:paraId="103D63C5" w14:textId="77777777" w:rsidR="00040373" w:rsidRDefault="00040373" w:rsidP="000D310F">
      <w:pPr>
        <w:rPr>
          <w:rFonts w:cstheme="minorHAnsi"/>
        </w:rPr>
      </w:pPr>
    </w:p>
    <w:p w14:paraId="2FB16A50" w14:textId="77777777" w:rsidR="00040373" w:rsidRDefault="00040373" w:rsidP="000D310F">
      <w:pPr>
        <w:rPr>
          <w:rFonts w:cstheme="minorHAnsi"/>
        </w:rPr>
      </w:pPr>
    </w:p>
    <w:p w14:paraId="243FE1D8" w14:textId="77777777" w:rsidR="00040373" w:rsidRDefault="00040373" w:rsidP="000D310F">
      <w:pPr>
        <w:rPr>
          <w:rFonts w:cstheme="minorHAnsi"/>
        </w:rPr>
      </w:pPr>
    </w:p>
    <w:p w14:paraId="2DECD6F4" w14:textId="77777777" w:rsidR="00040373" w:rsidRDefault="00040373" w:rsidP="000D310F">
      <w:pPr>
        <w:rPr>
          <w:rFonts w:cstheme="minorHAnsi"/>
        </w:rPr>
      </w:pPr>
    </w:p>
    <w:p w14:paraId="608AD8DA" w14:textId="77777777" w:rsidR="00040373" w:rsidRDefault="00040373" w:rsidP="000D310F">
      <w:pPr>
        <w:rPr>
          <w:rFonts w:cstheme="minorHAnsi"/>
        </w:rPr>
      </w:pPr>
    </w:p>
    <w:p w14:paraId="346381D6" w14:textId="77777777" w:rsidR="00040373" w:rsidRDefault="00040373" w:rsidP="000D310F">
      <w:pPr>
        <w:rPr>
          <w:rFonts w:cstheme="minorHAnsi"/>
        </w:rPr>
      </w:pPr>
    </w:p>
    <w:p w14:paraId="7C691129" w14:textId="77777777" w:rsidR="00040373" w:rsidRDefault="00040373" w:rsidP="000D310F">
      <w:pPr>
        <w:rPr>
          <w:rFonts w:cstheme="minorHAnsi"/>
        </w:rPr>
      </w:pPr>
    </w:p>
    <w:p w14:paraId="364C6950" w14:textId="77777777" w:rsidR="00040373" w:rsidRDefault="00040373" w:rsidP="000D310F">
      <w:pPr>
        <w:rPr>
          <w:rFonts w:cstheme="minorHAnsi"/>
        </w:rPr>
      </w:pPr>
    </w:p>
    <w:p w14:paraId="06A4B146" w14:textId="77777777" w:rsidR="00040373" w:rsidRDefault="00040373" w:rsidP="000D310F">
      <w:pPr>
        <w:rPr>
          <w:rFonts w:cstheme="minorHAnsi"/>
        </w:rPr>
      </w:pPr>
    </w:p>
    <w:p w14:paraId="4047E3FF" w14:textId="77777777" w:rsidR="00040373" w:rsidRDefault="00040373" w:rsidP="000D310F">
      <w:pPr>
        <w:rPr>
          <w:rFonts w:cstheme="minorHAnsi"/>
        </w:rPr>
      </w:pPr>
    </w:p>
    <w:p w14:paraId="7A1C9917" w14:textId="77777777" w:rsidR="00040373" w:rsidRDefault="00040373" w:rsidP="000D310F">
      <w:pPr>
        <w:rPr>
          <w:rFonts w:cstheme="minorHAnsi"/>
        </w:rPr>
      </w:pPr>
    </w:p>
    <w:p w14:paraId="060C03B7" w14:textId="77777777" w:rsidR="00040373" w:rsidRDefault="00040373" w:rsidP="000D310F">
      <w:pPr>
        <w:rPr>
          <w:rFonts w:cstheme="minorHAnsi"/>
        </w:rPr>
      </w:pPr>
    </w:p>
    <w:p w14:paraId="429B2723" w14:textId="77777777" w:rsidR="00040373" w:rsidRDefault="00040373" w:rsidP="000D310F">
      <w:pPr>
        <w:rPr>
          <w:rFonts w:cstheme="minorHAnsi"/>
        </w:rPr>
      </w:pPr>
    </w:p>
    <w:p w14:paraId="740711A6" w14:textId="382E61B4" w:rsidR="0050265E" w:rsidRDefault="00B97965" w:rsidP="00040373">
      <w:pPr>
        <w:tabs>
          <w:tab w:val="left" w:pos="567"/>
        </w:tabs>
        <w:jc w:val="center"/>
        <w:rPr>
          <w:rFonts w:cstheme="minorHAnsi"/>
          <w:b/>
          <w:bCs/>
          <w:sz w:val="28"/>
          <w:szCs w:val="28"/>
        </w:rPr>
      </w:pPr>
      <w:r>
        <w:rPr>
          <w:rFonts w:cstheme="minorHAnsi"/>
          <w:b/>
          <w:bCs/>
          <w:sz w:val="28"/>
          <w:szCs w:val="28"/>
        </w:rPr>
        <w:lastRenderedPageBreak/>
        <w:t>EK-</w:t>
      </w:r>
      <w:r w:rsidR="006D706C">
        <w:rPr>
          <w:rFonts w:cstheme="minorHAnsi"/>
          <w:b/>
          <w:bCs/>
          <w:sz w:val="28"/>
          <w:szCs w:val="28"/>
        </w:rPr>
        <w:t>1</w:t>
      </w:r>
    </w:p>
    <w:p w14:paraId="67BBCA45" w14:textId="45053675" w:rsidR="0050265E" w:rsidRPr="0050265E" w:rsidRDefault="0050265E" w:rsidP="0050265E">
      <w:pPr>
        <w:tabs>
          <w:tab w:val="left" w:pos="567"/>
        </w:tabs>
        <w:jc w:val="center"/>
        <w:rPr>
          <w:rFonts w:cstheme="minorHAnsi"/>
          <w:b/>
          <w:bCs/>
          <w:sz w:val="28"/>
          <w:szCs w:val="28"/>
        </w:rPr>
      </w:pPr>
      <w:r w:rsidRPr="0050265E">
        <w:rPr>
          <w:rFonts w:cstheme="minorHAnsi"/>
          <w:b/>
          <w:bCs/>
          <w:sz w:val="28"/>
          <w:szCs w:val="28"/>
        </w:rPr>
        <w:t>TÜRKİYE’DE FAALİYETTE OLAN TRANSİT HAMPETROL BORU HATTI TERMİNALLERİNİN TOPLAM YÜK İSTATİSTİKLERE ETKİSİ</w:t>
      </w:r>
    </w:p>
    <w:p w14:paraId="23AE8B06" w14:textId="77777777" w:rsidR="00B97965" w:rsidRDefault="00B97965" w:rsidP="000D310F">
      <w:pPr>
        <w:jc w:val="both"/>
        <w:rPr>
          <w:rFonts w:cstheme="minorHAnsi"/>
          <w:sz w:val="24"/>
          <w:szCs w:val="24"/>
        </w:rPr>
      </w:pPr>
    </w:p>
    <w:p w14:paraId="32144D57" w14:textId="56F8C25C" w:rsidR="000D310F" w:rsidRPr="00B97965" w:rsidRDefault="000D310F" w:rsidP="000D310F">
      <w:pPr>
        <w:jc w:val="both"/>
        <w:rPr>
          <w:rFonts w:cstheme="minorHAnsi"/>
          <w:sz w:val="24"/>
          <w:szCs w:val="24"/>
        </w:rPr>
      </w:pPr>
      <w:r w:rsidRPr="00B97965">
        <w:rPr>
          <w:rFonts w:cstheme="minorHAnsi"/>
          <w:sz w:val="24"/>
          <w:szCs w:val="24"/>
        </w:rPr>
        <w:t>Aşağıdaki Tablo-</w:t>
      </w:r>
      <w:r w:rsidR="00B97965">
        <w:rPr>
          <w:rFonts w:cstheme="minorHAnsi"/>
          <w:sz w:val="24"/>
          <w:szCs w:val="24"/>
        </w:rPr>
        <w:t>1</w:t>
      </w:r>
      <w:r w:rsidRPr="00B97965">
        <w:rPr>
          <w:rFonts w:cstheme="minorHAnsi"/>
          <w:sz w:val="24"/>
          <w:szCs w:val="24"/>
        </w:rPr>
        <w:t>’deki istatistikler BOTAŞ’ın web sayfasından</w:t>
      </w:r>
      <w:r w:rsidR="00970E80">
        <w:rPr>
          <w:rStyle w:val="DipnotBavurusu"/>
          <w:rFonts w:cstheme="minorHAnsi"/>
          <w:sz w:val="24"/>
          <w:szCs w:val="24"/>
        </w:rPr>
        <w:footnoteReference w:id="2"/>
      </w:r>
      <w:r w:rsidR="003872B1">
        <w:rPr>
          <w:rFonts w:cstheme="minorHAnsi"/>
          <w:sz w:val="24"/>
          <w:szCs w:val="24"/>
        </w:rPr>
        <w:t xml:space="preserve"> alınmıştır. </w:t>
      </w:r>
      <w:r w:rsidRPr="00B97965">
        <w:rPr>
          <w:rFonts w:cstheme="minorHAnsi"/>
          <w:sz w:val="24"/>
          <w:szCs w:val="24"/>
        </w:rPr>
        <w:t xml:space="preserve">ilgili sayfada </w:t>
      </w:r>
      <w:r w:rsidR="003872B1">
        <w:rPr>
          <w:rFonts w:cstheme="minorHAnsi"/>
          <w:sz w:val="24"/>
          <w:szCs w:val="24"/>
        </w:rPr>
        <w:t xml:space="preserve">yer alan ve miktar olarak </w:t>
      </w:r>
      <w:r w:rsidRPr="00B97965">
        <w:rPr>
          <w:rFonts w:cstheme="minorHAnsi"/>
          <w:sz w:val="24"/>
          <w:szCs w:val="24"/>
        </w:rPr>
        <w:t>“Varil” ola</w:t>
      </w:r>
      <w:r w:rsidR="003872B1">
        <w:rPr>
          <w:rFonts w:cstheme="minorHAnsi"/>
          <w:sz w:val="24"/>
          <w:szCs w:val="24"/>
        </w:rPr>
        <w:t xml:space="preserve">n </w:t>
      </w:r>
      <w:r w:rsidRPr="00B97965">
        <w:rPr>
          <w:rFonts w:cstheme="minorHAnsi"/>
          <w:sz w:val="24"/>
          <w:szCs w:val="24"/>
        </w:rPr>
        <w:t>değerler “Ton” olarak (</w:t>
      </w:r>
      <w:r w:rsidRPr="00040373">
        <w:rPr>
          <w:rFonts w:cstheme="minorHAnsi"/>
          <w:b/>
          <w:bCs/>
          <w:i/>
          <w:iCs/>
          <w:sz w:val="18"/>
          <w:szCs w:val="18"/>
        </w:rPr>
        <w:t>1 Varil: 0,0561458333030263 Ton</w:t>
      </w:r>
      <w:r w:rsidRPr="00B97965">
        <w:rPr>
          <w:rFonts w:cstheme="minorHAnsi"/>
          <w:sz w:val="24"/>
          <w:szCs w:val="24"/>
        </w:rPr>
        <w:t xml:space="preserve">)  düzenlenerek tablo haline getirilmiştir. </w:t>
      </w:r>
    </w:p>
    <w:p w14:paraId="1EAEABBF" w14:textId="5B2AFF90" w:rsidR="002B7903" w:rsidRDefault="002B7903" w:rsidP="002B7903">
      <w:pPr>
        <w:jc w:val="both"/>
        <w:rPr>
          <w:rFonts w:cstheme="minorHAnsi"/>
          <w:sz w:val="24"/>
          <w:szCs w:val="24"/>
        </w:rPr>
      </w:pPr>
      <w:r>
        <w:rPr>
          <w:rFonts w:cstheme="minorHAnsi"/>
          <w:sz w:val="24"/>
          <w:szCs w:val="24"/>
        </w:rPr>
        <w:t xml:space="preserve">Adana-Yumurtalık ilçesi sınırları içerisinde bulunan </w:t>
      </w:r>
      <w:r w:rsidRPr="00B97965">
        <w:rPr>
          <w:rFonts w:cstheme="minorHAnsi"/>
          <w:sz w:val="24"/>
          <w:szCs w:val="24"/>
        </w:rPr>
        <w:t>boru hattı terminallerinden Kerkük-Yumurtalık (BOTAŞ Ceyhan) ve Bakü-Tiflis-Ceyhan (BTC) bütünüyle Transit olarak elleçlenen hampetrol</w:t>
      </w:r>
      <w:r>
        <w:rPr>
          <w:rFonts w:cstheme="minorHAnsi"/>
          <w:sz w:val="24"/>
          <w:szCs w:val="24"/>
        </w:rPr>
        <w:t xml:space="preserve"> depolamaya ve tanker yüklemeye </w:t>
      </w:r>
      <w:r w:rsidRPr="00B97965">
        <w:rPr>
          <w:rFonts w:cstheme="minorHAnsi"/>
          <w:sz w:val="24"/>
          <w:szCs w:val="24"/>
        </w:rPr>
        <w:t xml:space="preserve">hizmet </w:t>
      </w:r>
      <w:r>
        <w:rPr>
          <w:rFonts w:cstheme="minorHAnsi"/>
          <w:sz w:val="24"/>
          <w:szCs w:val="24"/>
        </w:rPr>
        <w:t>etmektedir. Bu boru hatları yurtdışında başlamakta ve Ceyhan’da bulunan depolama tanklarında sonlanmaktadır. Yine Türkiye’nin Batman ve civar</w:t>
      </w:r>
      <w:r w:rsidR="00610F84">
        <w:rPr>
          <w:rFonts w:cstheme="minorHAnsi"/>
          <w:sz w:val="24"/>
          <w:szCs w:val="24"/>
        </w:rPr>
        <w:t xml:space="preserve"> illerinde </w:t>
      </w:r>
      <w:r>
        <w:rPr>
          <w:rFonts w:cstheme="minorHAnsi"/>
          <w:sz w:val="24"/>
          <w:szCs w:val="24"/>
        </w:rPr>
        <w:t xml:space="preserve">üretilen hampetrol </w:t>
      </w:r>
      <w:r w:rsidRPr="00B97965">
        <w:rPr>
          <w:rFonts w:cstheme="minorHAnsi"/>
          <w:sz w:val="24"/>
          <w:szCs w:val="24"/>
        </w:rPr>
        <w:t xml:space="preserve">Batman-Dörtyol </w:t>
      </w:r>
      <w:r>
        <w:rPr>
          <w:rFonts w:cstheme="minorHAnsi"/>
          <w:sz w:val="24"/>
          <w:szCs w:val="24"/>
        </w:rPr>
        <w:t>arasında faaliyette olan boru hattından Hatay-</w:t>
      </w:r>
      <w:r w:rsidRPr="00B97965">
        <w:rPr>
          <w:rFonts w:cstheme="minorHAnsi"/>
          <w:sz w:val="24"/>
          <w:szCs w:val="24"/>
        </w:rPr>
        <w:t>Dörtyol’daki</w:t>
      </w:r>
      <w:r>
        <w:rPr>
          <w:rFonts w:cstheme="minorHAnsi"/>
          <w:sz w:val="24"/>
          <w:szCs w:val="24"/>
        </w:rPr>
        <w:t xml:space="preserve"> BOTAŞ Dörtyol terminalindeki tanklara alınmaktadır. Yine BOTAŞ Dörtyol işle BOTAŞ Ceyhan arasında </w:t>
      </w:r>
      <w:r w:rsidRPr="00B97965">
        <w:rPr>
          <w:rFonts w:cstheme="minorHAnsi"/>
          <w:sz w:val="24"/>
          <w:szCs w:val="24"/>
        </w:rPr>
        <w:t xml:space="preserve">Dörtyol-Ceyhan </w:t>
      </w:r>
      <w:r>
        <w:rPr>
          <w:rFonts w:cstheme="minorHAnsi"/>
          <w:sz w:val="24"/>
          <w:szCs w:val="24"/>
        </w:rPr>
        <w:t xml:space="preserve">boru hattı bulunmaktadır. Ayrıca BOTAŞ Ceyhan terminalinden Ankara-Kırıkkale’deki TÜPRAŞ’a hampetrol sevk edilen </w:t>
      </w:r>
      <w:r w:rsidRPr="00B97965">
        <w:rPr>
          <w:rFonts w:cstheme="minorHAnsi"/>
          <w:sz w:val="24"/>
          <w:szCs w:val="24"/>
        </w:rPr>
        <w:t xml:space="preserve">Kırıkkale-Ceyhan </w:t>
      </w:r>
      <w:r>
        <w:rPr>
          <w:rFonts w:cstheme="minorHAnsi"/>
          <w:sz w:val="24"/>
          <w:szCs w:val="24"/>
        </w:rPr>
        <w:t>boru hattı da mevcuttur. Tüm bu boru hatları ve boru hattı terminalleriyle ilgili bilgiler BOTAŞ’ın web sayfasında yer almaktadır.</w:t>
      </w:r>
    </w:p>
    <w:p w14:paraId="434777D0" w14:textId="308478A6" w:rsidR="001F1926" w:rsidRPr="00320408" w:rsidRDefault="001F1926" w:rsidP="002B7903">
      <w:pPr>
        <w:jc w:val="both"/>
        <w:rPr>
          <w:rFonts w:cstheme="minorHAnsi"/>
          <w:sz w:val="24"/>
          <w:szCs w:val="24"/>
        </w:rPr>
      </w:pPr>
      <w:r>
        <w:rPr>
          <w:rFonts w:cstheme="minorHAnsi"/>
          <w:sz w:val="24"/>
          <w:szCs w:val="24"/>
        </w:rPr>
        <w:t xml:space="preserve">Tablo-1’de boru hatlarının yıllık olarak elleçleyebileceği “Ton” ve “Varil” olarak kapasitesi gösterilmektedir. </w:t>
      </w:r>
    </w:p>
    <w:p w14:paraId="7C70C0A3" w14:textId="41A225AA" w:rsidR="002B7903" w:rsidRPr="00030F80" w:rsidRDefault="00030F80" w:rsidP="00030F80">
      <w:pPr>
        <w:pStyle w:val="ListeParagraf"/>
        <w:tabs>
          <w:tab w:val="left" w:pos="284"/>
        </w:tabs>
        <w:ind w:left="0"/>
        <w:jc w:val="center"/>
        <w:rPr>
          <w:rFonts w:cstheme="minorHAnsi"/>
          <w:b/>
          <w:bCs/>
          <w:sz w:val="22"/>
          <w:szCs w:val="22"/>
        </w:rPr>
      </w:pPr>
      <w:r w:rsidRPr="00B97965">
        <w:rPr>
          <w:rFonts w:cstheme="minorHAnsi"/>
          <w:b/>
          <w:bCs/>
          <w:sz w:val="22"/>
          <w:szCs w:val="22"/>
          <w:u w:val="single"/>
        </w:rPr>
        <w:t>Tablo-1:</w:t>
      </w:r>
      <w:r w:rsidRPr="00B97965">
        <w:rPr>
          <w:rFonts w:cstheme="minorHAnsi"/>
          <w:b/>
          <w:bCs/>
          <w:sz w:val="22"/>
          <w:szCs w:val="22"/>
        </w:rPr>
        <w:t xml:space="preserve"> Hampetrol </w:t>
      </w:r>
      <w:r>
        <w:rPr>
          <w:rFonts w:cstheme="minorHAnsi"/>
          <w:b/>
          <w:bCs/>
          <w:sz w:val="22"/>
          <w:szCs w:val="22"/>
        </w:rPr>
        <w:t xml:space="preserve">Boru Hatları Kapasitesi </w:t>
      </w:r>
    </w:p>
    <w:tbl>
      <w:tblPr>
        <w:tblpPr w:leftFromText="141" w:rightFromText="141" w:vertAnchor="text" w:horzAnchor="margin" w:tblpXSpec="center" w:tblpY="32"/>
        <w:tblW w:w="7180" w:type="dxa"/>
        <w:tblCellMar>
          <w:left w:w="70" w:type="dxa"/>
          <w:right w:w="70" w:type="dxa"/>
        </w:tblCellMar>
        <w:tblLook w:val="04A0" w:firstRow="1" w:lastRow="0" w:firstColumn="1" w:lastColumn="0" w:noHBand="0" w:noVBand="1"/>
      </w:tblPr>
      <w:tblGrid>
        <w:gridCol w:w="3632"/>
        <w:gridCol w:w="1774"/>
        <w:gridCol w:w="1774"/>
      </w:tblGrid>
      <w:tr w:rsidR="00EE4CD3" w:rsidRPr="00C83013" w14:paraId="742F6E73" w14:textId="59152A01" w:rsidTr="00FE0228">
        <w:trPr>
          <w:trHeight w:val="1016"/>
        </w:trPr>
        <w:tc>
          <w:tcPr>
            <w:tcW w:w="3632" w:type="dxa"/>
            <w:tcBorders>
              <w:top w:val="single" w:sz="12" w:space="0" w:color="auto"/>
              <w:left w:val="single" w:sz="12" w:space="0" w:color="auto"/>
              <w:bottom w:val="single" w:sz="12" w:space="0" w:color="auto"/>
              <w:right w:val="single" w:sz="12" w:space="0" w:color="auto"/>
            </w:tcBorders>
            <w:shd w:val="clear" w:color="auto" w:fill="FFFF00"/>
            <w:vAlign w:val="center"/>
            <w:hideMark/>
          </w:tcPr>
          <w:p w14:paraId="6E8D8704" w14:textId="75CDC9BF" w:rsidR="00EE4CD3" w:rsidRPr="00C83013" w:rsidRDefault="00EE4CD3" w:rsidP="002B7903">
            <w:pPr>
              <w:spacing w:after="0" w:line="240" w:lineRule="auto"/>
              <w:jc w:val="center"/>
              <w:rPr>
                <w:rFonts w:ascii="Aptos" w:eastAsia="Times New Roman" w:hAnsi="Aptos" w:cs="Times New Roman"/>
                <w:b/>
                <w:bCs/>
                <w:color w:val="333333"/>
                <w:lang w:eastAsia="tr-TR"/>
              </w:rPr>
            </w:pPr>
            <w:r w:rsidRPr="00C83013">
              <w:rPr>
                <w:rFonts w:ascii="Aptos" w:eastAsia="Times New Roman" w:hAnsi="Aptos" w:cs="Times New Roman"/>
                <w:b/>
                <w:bCs/>
                <w:color w:val="333333"/>
                <w:lang w:eastAsia="tr-TR"/>
              </w:rPr>
              <w:t>Boru Hat</w:t>
            </w:r>
            <w:r>
              <w:rPr>
                <w:rFonts w:ascii="Aptos" w:eastAsia="Times New Roman" w:hAnsi="Aptos" w:cs="Times New Roman"/>
                <w:b/>
                <w:bCs/>
                <w:color w:val="333333"/>
                <w:lang w:eastAsia="tr-TR"/>
              </w:rPr>
              <w:t>ları</w:t>
            </w:r>
          </w:p>
        </w:tc>
        <w:tc>
          <w:tcPr>
            <w:tcW w:w="1774" w:type="dxa"/>
            <w:tcBorders>
              <w:top w:val="single" w:sz="12" w:space="0" w:color="auto"/>
              <w:left w:val="single" w:sz="12" w:space="0" w:color="auto"/>
              <w:bottom w:val="single" w:sz="12" w:space="0" w:color="auto"/>
              <w:right w:val="single" w:sz="12" w:space="0" w:color="auto"/>
            </w:tcBorders>
            <w:shd w:val="clear" w:color="auto" w:fill="FFFF00"/>
            <w:vAlign w:val="center"/>
            <w:hideMark/>
          </w:tcPr>
          <w:p w14:paraId="4681949F" w14:textId="0C17BC46" w:rsidR="00EE4CD3" w:rsidRPr="00C83013" w:rsidRDefault="00EE4CD3" w:rsidP="002B7903">
            <w:pPr>
              <w:spacing w:after="0" w:line="240" w:lineRule="auto"/>
              <w:jc w:val="center"/>
              <w:rPr>
                <w:rFonts w:ascii="Aptos" w:eastAsia="Times New Roman" w:hAnsi="Aptos" w:cs="Times New Roman"/>
                <w:b/>
                <w:bCs/>
                <w:color w:val="333333"/>
                <w:lang w:eastAsia="tr-TR"/>
              </w:rPr>
            </w:pPr>
            <w:r w:rsidRPr="00C83013">
              <w:rPr>
                <w:rFonts w:ascii="Aptos" w:eastAsia="Times New Roman" w:hAnsi="Aptos" w:cstheme="minorHAnsi"/>
                <w:b/>
                <w:bCs/>
                <w:color w:val="333333"/>
                <w:lang w:eastAsia="tr-TR"/>
              </w:rPr>
              <w:t>Kapasite              (Milyon Ton</w:t>
            </w:r>
            <w:r>
              <w:rPr>
                <w:rFonts w:ascii="Aptos" w:eastAsia="Times New Roman" w:hAnsi="Aptos" w:cstheme="minorHAnsi"/>
                <w:b/>
                <w:bCs/>
                <w:color w:val="333333"/>
                <w:lang w:eastAsia="tr-TR"/>
              </w:rPr>
              <w:t>/</w:t>
            </w:r>
            <w:r w:rsidRPr="00C83013">
              <w:rPr>
                <w:rFonts w:ascii="Aptos" w:eastAsia="Times New Roman" w:hAnsi="Aptos" w:cstheme="minorHAnsi"/>
                <w:b/>
                <w:bCs/>
                <w:color w:val="333333"/>
                <w:lang w:eastAsia="tr-TR"/>
              </w:rPr>
              <w:t>Yıl)</w:t>
            </w:r>
          </w:p>
        </w:tc>
        <w:tc>
          <w:tcPr>
            <w:tcW w:w="1774" w:type="dxa"/>
            <w:tcBorders>
              <w:top w:val="single" w:sz="12" w:space="0" w:color="auto"/>
              <w:left w:val="single" w:sz="12" w:space="0" w:color="auto"/>
              <w:right w:val="single" w:sz="12" w:space="0" w:color="auto"/>
            </w:tcBorders>
            <w:shd w:val="clear" w:color="auto" w:fill="FFFF00"/>
          </w:tcPr>
          <w:p w14:paraId="34E51A7C" w14:textId="77777777" w:rsidR="00EE4CD3" w:rsidRDefault="00EE4CD3" w:rsidP="002B7903">
            <w:pPr>
              <w:spacing w:after="0" w:line="240" w:lineRule="auto"/>
              <w:jc w:val="center"/>
              <w:rPr>
                <w:rFonts w:ascii="Aptos" w:eastAsia="Times New Roman" w:hAnsi="Aptos" w:cstheme="minorHAnsi"/>
                <w:b/>
                <w:bCs/>
                <w:color w:val="333333"/>
                <w:lang w:eastAsia="tr-TR"/>
              </w:rPr>
            </w:pPr>
          </w:p>
          <w:p w14:paraId="1BF950E5" w14:textId="68B28E76" w:rsidR="00EE4CD3" w:rsidRPr="00C83013" w:rsidRDefault="00EE4CD3" w:rsidP="002B7903">
            <w:pPr>
              <w:spacing w:after="0" w:line="240" w:lineRule="auto"/>
              <w:jc w:val="center"/>
              <w:rPr>
                <w:rFonts w:ascii="Aptos" w:eastAsia="Times New Roman" w:hAnsi="Aptos" w:cstheme="minorHAnsi"/>
                <w:b/>
                <w:bCs/>
                <w:color w:val="333333"/>
                <w:lang w:eastAsia="tr-TR"/>
              </w:rPr>
            </w:pPr>
            <w:r w:rsidRPr="00C83013">
              <w:rPr>
                <w:rFonts w:ascii="Aptos" w:eastAsia="Times New Roman" w:hAnsi="Aptos" w:cstheme="minorHAnsi"/>
                <w:b/>
                <w:bCs/>
                <w:color w:val="333333"/>
                <w:lang w:eastAsia="tr-TR"/>
              </w:rPr>
              <w:t xml:space="preserve">Kapasite              (Milyon </w:t>
            </w:r>
            <w:r>
              <w:rPr>
                <w:rFonts w:ascii="Aptos" w:eastAsia="Times New Roman" w:hAnsi="Aptos" w:cstheme="minorHAnsi"/>
                <w:b/>
                <w:bCs/>
                <w:color w:val="333333"/>
                <w:lang w:eastAsia="tr-TR"/>
              </w:rPr>
              <w:t>Varil/</w:t>
            </w:r>
            <w:r w:rsidRPr="00C83013">
              <w:rPr>
                <w:rFonts w:ascii="Aptos" w:eastAsia="Times New Roman" w:hAnsi="Aptos" w:cstheme="minorHAnsi"/>
                <w:b/>
                <w:bCs/>
                <w:color w:val="333333"/>
                <w:lang w:eastAsia="tr-TR"/>
              </w:rPr>
              <w:t>Yıl)</w:t>
            </w:r>
          </w:p>
        </w:tc>
      </w:tr>
      <w:tr w:rsidR="00EE4CD3" w:rsidRPr="00C83013" w14:paraId="1C5F99BF" w14:textId="10B37C05" w:rsidTr="00FE0228">
        <w:trPr>
          <w:trHeight w:val="360"/>
        </w:trPr>
        <w:tc>
          <w:tcPr>
            <w:tcW w:w="363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A1ADED" w14:textId="77777777" w:rsidR="00EE4CD3" w:rsidRPr="00FE0228" w:rsidRDefault="00EE4CD3" w:rsidP="002B7903">
            <w:pPr>
              <w:spacing w:after="0" w:line="240" w:lineRule="auto"/>
              <w:jc w:val="both"/>
              <w:rPr>
                <w:rFonts w:ascii="Aptos" w:eastAsia="Times New Roman" w:hAnsi="Aptos" w:cs="Times New Roman"/>
                <w:b/>
                <w:bCs/>
                <w:color w:val="333333"/>
                <w:lang w:eastAsia="tr-TR"/>
              </w:rPr>
            </w:pPr>
            <w:r w:rsidRPr="00FE0228">
              <w:rPr>
                <w:rFonts w:ascii="Aptos" w:eastAsia="Times New Roman" w:hAnsi="Aptos" w:cs="Times New Roman"/>
                <w:b/>
                <w:bCs/>
                <w:color w:val="333333"/>
                <w:lang w:eastAsia="tr-TR"/>
              </w:rPr>
              <w:t>Kerkük-Yumurtalık (BOTAŞ) Ceyhan</w:t>
            </w:r>
          </w:p>
        </w:tc>
        <w:tc>
          <w:tcPr>
            <w:tcW w:w="17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9A3E95" w14:textId="29A9ABD0" w:rsidR="00EE4CD3" w:rsidRPr="00FE0228" w:rsidRDefault="00EE4CD3" w:rsidP="002B7903">
            <w:pPr>
              <w:spacing w:after="0" w:line="240" w:lineRule="auto"/>
              <w:jc w:val="center"/>
              <w:rPr>
                <w:rFonts w:ascii="Aptos" w:eastAsia="Times New Roman" w:hAnsi="Aptos" w:cs="Times New Roman"/>
                <w:b/>
                <w:bCs/>
                <w:color w:val="000000"/>
                <w:lang w:eastAsia="tr-TR"/>
              </w:rPr>
            </w:pPr>
            <w:r w:rsidRPr="00FE0228">
              <w:rPr>
                <w:rFonts w:ascii="Aptos" w:eastAsia="Times New Roman" w:hAnsi="Aptos" w:cstheme="minorHAnsi"/>
                <w:b/>
                <w:bCs/>
                <w:color w:val="000000"/>
                <w:lang w:eastAsia="tr-TR"/>
              </w:rPr>
              <w:t>70,9</w:t>
            </w:r>
          </w:p>
        </w:tc>
        <w:tc>
          <w:tcPr>
            <w:tcW w:w="1774" w:type="dxa"/>
            <w:tcBorders>
              <w:top w:val="single" w:sz="12" w:space="0" w:color="auto"/>
              <w:left w:val="single" w:sz="12" w:space="0" w:color="auto"/>
              <w:bottom w:val="single" w:sz="12" w:space="0" w:color="auto"/>
              <w:right w:val="single" w:sz="12" w:space="0" w:color="auto"/>
            </w:tcBorders>
          </w:tcPr>
          <w:p w14:paraId="50A996E5" w14:textId="5CA3E108" w:rsidR="00EE4CD3" w:rsidRPr="00FE0228" w:rsidRDefault="00FC2630" w:rsidP="002B7903">
            <w:pPr>
              <w:spacing w:after="0" w:line="240" w:lineRule="auto"/>
              <w:jc w:val="center"/>
              <w:rPr>
                <w:rFonts w:ascii="Aptos" w:eastAsia="Times New Roman" w:hAnsi="Aptos" w:cstheme="minorHAnsi"/>
                <w:b/>
                <w:bCs/>
                <w:color w:val="000000"/>
                <w:lang w:eastAsia="tr-TR"/>
              </w:rPr>
            </w:pPr>
            <w:r w:rsidRPr="00FE0228">
              <w:rPr>
                <w:rFonts w:ascii="Aptos" w:eastAsia="Times New Roman" w:hAnsi="Aptos" w:cstheme="minorHAnsi"/>
                <w:b/>
                <w:bCs/>
                <w:color w:val="000000"/>
                <w:lang w:eastAsia="tr-TR"/>
              </w:rPr>
              <w:t>553</w:t>
            </w:r>
          </w:p>
        </w:tc>
      </w:tr>
      <w:tr w:rsidR="00EE4CD3" w:rsidRPr="00C83013" w14:paraId="1BB7D87A" w14:textId="52A6FFF0" w:rsidTr="00FE0228">
        <w:trPr>
          <w:trHeight w:val="300"/>
        </w:trPr>
        <w:tc>
          <w:tcPr>
            <w:tcW w:w="363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99F008" w14:textId="77777777" w:rsidR="00EE4CD3" w:rsidRPr="00FE0228" w:rsidRDefault="00EE4CD3" w:rsidP="002B7903">
            <w:pPr>
              <w:spacing w:after="0" w:line="240" w:lineRule="auto"/>
              <w:jc w:val="both"/>
              <w:rPr>
                <w:rFonts w:ascii="Aptos" w:eastAsia="Times New Roman" w:hAnsi="Aptos" w:cs="Times New Roman"/>
                <w:b/>
                <w:bCs/>
                <w:color w:val="333333"/>
                <w:lang w:eastAsia="tr-TR"/>
              </w:rPr>
            </w:pPr>
            <w:r w:rsidRPr="00FE0228">
              <w:rPr>
                <w:rFonts w:ascii="Aptos" w:eastAsia="Times New Roman" w:hAnsi="Aptos" w:cs="Times New Roman"/>
                <w:b/>
                <w:bCs/>
                <w:color w:val="333333"/>
                <w:lang w:eastAsia="tr-TR"/>
              </w:rPr>
              <w:t>Bakü-Tiflis-Ceyhan (BTC)</w:t>
            </w:r>
          </w:p>
        </w:tc>
        <w:tc>
          <w:tcPr>
            <w:tcW w:w="17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E9A2CDD" w14:textId="0E2D605C" w:rsidR="00EE4CD3" w:rsidRPr="00FE0228" w:rsidRDefault="00EE4CD3" w:rsidP="002B7903">
            <w:pPr>
              <w:spacing w:after="0" w:line="240" w:lineRule="auto"/>
              <w:jc w:val="center"/>
              <w:rPr>
                <w:rFonts w:ascii="Aptos" w:eastAsia="Times New Roman" w:hAnsi="Aptos" w:cs="Times New Roman"/>
                <w:b/>
                <w:bCs/>
                <w:color w:val="000000"/>
                <w:lang w:eastAsia="tr-TR"/>
              </w:rPr>
            </w:pPr>
            <w:r w:rsidRPr="00FE0228">
              <w:rPr>
                <w:rFonts w:ascii="Aptos" w:eastAsia="Times New Roman" w:hAnsi="Aptos" w:cstheme="minorHAnsi"/>
                <w:b/>
                <w:bCs/>
                <w:color w:val="000000"/>
                <w:lang w:eastAsia="tr-TR"/>
              </w:rPr>
              <w:t>50</w:t>
            </w:r>
          </w:p>
        </w:tc>
        <w:tc>
          <w:tcPr>
            <w:tcW w:w="1774" w:type="dxa"/>
            <w:tcBorders>
              <w:top w:val="single" w:sz="12" w:space="0" w:color="auto"/>
              <w:left w:val="single" w:sz="12" w:space="0" w:color="auto"/>
              <w:bottom w:val="single" w:sz="12" w:space="0" w:color="auto"/>
              <w:right w:val="single" w:sz="12" w:space="0" w:color="auto"/>
            </w:tcBorders>
          </w:tcPr>
          <w:p w14:paraId="6BB5693C" w14:textId="74B0FCC2" w:rsidR="00EE4CD3" w:rsidRPr="00FE0228" w:rsidRDefault="001F1926" w:rsidP="002B7903">
            <w:pPr>
              <w:spacing w:after="0" w:line="240" w:lineRule="auto"/>
              <w:jc w:val="center"/>
              <w:rPr>
                <w:rFonts w:ascii="Aptos" w:eastAsia="Times New Roman" w:hAnsi="Aptos" w:cstheme="minorHAnsi"/>
                <w:b/>
                <w:bCs/>
                <w:color w:val="000000"/>
                <w:lang w:eastAsia="tr-TR"/>
              </w:rPr>
            </w:pPr>
            <w:r w:rsidRPr="00FE0228">
              <w:rPr>
                <w:rFonts w:ascii="Aptos" w:eastAsia="Times New Roman" w:hAnsi="Aptos" w:cstheme="minorHAnsi"/>
                <w:b/>
                <w:bCs/>
                <w:color w:val="000000"/>
                <w:lang w:eastAsia="tr-TR"/>
              </w:rPr>
              <w:t>365</w:t>
            </w:r>
          </w:p>
        </w:tc>
      </w:tr>
      <w:tr w:rsidR="00EE4CD3" w:rsidRPr="00C83013" w14:paraId="0CDE6568" w14:textId="4E3B9A48" w:rsidTr="00FE0228">
        <w:trPr>
          <w:trHeight w:val="300"/>
        </w:trPr>
        <w:tc>
          <w:tcPr>
            <w:tcW w:w="363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F89104" w14:textId="77777777" w:rsidR="00EE4CD3" w:rsidRPr="00FE0228" w:rsidRDefault="00EE4CD3" w:rsidP="002B7903">
            <w:pPr>
              <w:spacing w:after="0" w:line="240" w:lineRule="auto"/>
              <w:jc w:val="both"/>
              <w:rPr>
                <w:rFonts w:ascii="Aptos" w:eastAsia="Times New Roman" w:hAnsi="Aptos" w:cs="Times New Roman"/>
                <w:b/>
                <w:bCs/>
                <w:color w:val="333333"/>
                <w:lang w:eastAsia="tr-TR"/>
              </w:rPr>
            </w:pPr>
            <w:r w:rsidRPr="00FE0228">
              <w:rPr>
                <w:rFonts w:ascii="Aptos" w:eastAsia="Times New Roman" w:hAnsi="Aptos" w:cs="Times New Roman"/>
                <w:b/>
                <w:bCs/>
                <w:color w:val="333333"/>
                <w:lang w:eastAsia="tr-TR"/>
              </w:rPr>
              <w:t>Ceyhan-Kırıkkale (BOTAŞ Ceyhan)</w:t>
            </w:r>
          </w:p>
        </w:tc>
        <w:tc>
          <w:tcPr>
            <w:tcW w:w="17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E03858" w14:textId="28A2C320" w:rsidR="00EE4CD3" w:rsidRPr="00FE0228" w:rsidRDefault="00EE4CD3" w:rsidP="002B7903">
            <w:pPr>
              <w:spacing w:after="0" w:line="240" w:lineRule="auto"/>
              <w:jc w:val="center"/>
              <w:rPr>
                <w:rFonts w:ascii="Aptos" w:eastAsia="Times New Roman" w:hAnsi="Aptos" w:cs="Times New Roman"/>
                <w:b/>
                <w:bCs/>
                <w:color w:val="000000"/>
                <w:lang w:eastAsia="tr-TR"/>
              </w:rPr>
            </w:pPr>
            <w:r w:rsidRPr="00FE0228">
              <w:rPr>
                <w:rFonts w:ascii="Aptos" w:eastAsia="Times New Roman" w:hAnsi="Aptos" w:cstheme="minorHAnsi"/>
                <w:b/>
                <w:bCs/>
                <w:color w:val="000000"/>
                <w:lang w:eastAsia="tr-TR"/>
              </w:rPr>
              <w:t>7,2</w:t>
            </w:r>
          </w:p>
        </w:tc>
        <w:tc>
          <w:tcPr>
            <w:tcW w:w="1774" w:type="dxa"/>
            <w:tcBorders>
              <w:top w:val="single" w:sz="12" w:space="0" w:color="auto"/>
              <w:left w:val="single" w:sz="12" w:space="0" w:color="auto"/>
              <w:bottom w:val="single" w:sz="12" w:space="0" w:color="auto"/>
              <w:right w:val="single" w:sz="12" w:space="0" w:color="auto"/>
            </w:tcBorders>
          </w:tcPr>
          <w:p w14:paraId="5F9A880F" w14:textId="2F515BE0" w:rsidR="00EE4CD3" w:rsidRPr="00FE0228" w:rsidRDefault="001F1926" w:rsidP="002B7903">
            <w:pPr>
              <w:spacing w:after="0" w:line="240" w:lineRule="auto"/>
              <w:jc w:val="center"/>
              <w:rPr>
                <w:rFonts w:ascii="Aptos" w:eastAsia="Times New Roman" w:hAnsi="Aptos" w:cstheme="minorHAnsi"/>
                <w:b/>
                <w:bCs/>
                <w:color w:val="000000"/>
                <w:lang w:eastAsia="tr-TR"/>
              </w:rPr>
            </w:pPr>
            <w:r w:rsidRPr="00FE0228">
              <w:rPr>
                <w:rFonts w:ascii="Aptos" w:eastAsia="Times New Roman" w:hAnsi="Aptos" w:cstheme="minorHAnsi"/>
                <w:b/>
                <w:bCs/>
                <w:color w:val="000000"/>
                <w:lang w:eastAsia="tr-TR"/>
              </w:rPr>
              <w:t>51</w:t>
            </w:r>
          </w:p>
        </w:tc>
      </w:tr>
      <w:tr w:rsidR="00EE4CD3" w:rsidRPr="00C83013" w14:paraId="42DAE660" w14:textId="291C1BDE" w:rsidTr="00FE0228">
        <w:trPr>
          <w:trHeight w:val="300"/>
        </w:trPr>
        <w:tc>
          <w:tcPr>
            <w:tcW w:w="363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E50DAA" w14:textId="77777777" w:rsidR="00EE4CD3" w:rsidRPr="00FE0228" w:rsidRDefault="00EE4CD3" w:rsidP="002B7903">
            <w:pPr>
              <w:spacing w:after="0" w:line="240" w:lineRule="auto"/>
              <w:jc w:val="both"/>
              <w:rPr>
                <w:rFonts w:ascii="Aptos" w:eastAsia="Times New Roman" w:hAnsi="Aptos" w:cs="Times New Roman"/>
                <w:b/>
                <w:bCs/>
                <w:color w:val="333333"/>
                <w:lang w:eastAsia="tr-TR"/>
              </w:rPr>
            </w:pPr>
            <w:r w:rsidRPr="00FE0228">
              <w:rPr>
                <w:rFonts w:ascii="Aptos" w:eastAsia="Times New Roman" w:hAnsi="Aptos" w:cs="Times New Roman"/>
                <w:b/>
                <w:bCs/>
                <w:color w:val="333333"/>
                <w:lang w:eastAsia="tr-TR"/>
              </w:rPr>
              <w:t>Batman-Dörtyol (BOTAŞ Dörtyol)</w:t>
            </w:r>
          </w:p>
        </w:tc>
        <w:tc>
          <w:tcPr>
            <w:tcW w:w="17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4A0627" w14:textId="45D4350D" w:rsidR="00EE4CD3" w:rsidRPr="00FE0228" w:rsidRDefault="00EE4CD3" w:rsidP="002B7903">
            <w:pPr>
              <w:spacing w:after="0" w:line="240" w:lineRule="auto"/>
              <w:jc w:val="center"/>
              <w:rPr>
                <w:rFonts w:ascii="Aptos" w:eastAsia="Times New Roman" w:hAnsi="Aptos" w:cs="Times New Roman"/>
                <w:b/>
                <w:bCs/>
                <w:color w:val="000000"/>
                <w:lang w:eastAsia="tr-TR"/>
              </w:rPr>
            </w:pPr>
            <w:r w:rsidRPr="00FE0228">
              <w:rPr>
                <w:rFonts w:ascii="Aptos" w:eastAsia="Times New Roman" w:hAnsi="Aptos" w:cstheme="minorHAnsi"/>
                <w:b/>
                <w:bCs/>
                <w:color w:val="000000"/>
                <w:lang w:eastAsia="tr-TR"/>
              </w:rPr>
              <w:t>4,5</w:t>
            </w:r>
          </w:p>
        </w:tc>
        <w:tc>
          <w:tcPr>
            <w:tcW w:w="1774" w:type="dxa"/>
            <w:tcBorders>
              <w:top w:val="single" w:sz="12" w:space="0" w:color="auto"/>
              <w:left w:val="single" w:sz="12" w:space="0" w:color="auto"/>
              <w:bottom w:val="single" w:sz="12" w:space="0" w:color="auto"/>
              <w:right w:val="single" w:sz="12" w:space="0" w:color="auto"/>
            </w:tcBorders>
          </w:tcPr>
          <w:p w14:paraId="3665E240" w14:textId="3ABF9D3D" w:rsidR="00EE4CD3" w:rsidRPr="00FE0228" w:rsidRDefault="001F1926" w:rsidP="002B7903">
            <w:pPr>
              <w:spacing w:after="0" w:line="240" w:lineRule="auto"/>
              <w:jc w:val="center"/>
              <w:rPr>
                <w:rFonts w:ascii="Aptos" w:eastAsia="Times New Roman" w:hAnsi="Aptos" w:cstheme="minorHAnsi"/>
                <w:b/>
                <w:bCs/>
                <w:color w:val="000000"/>
                <w:lang w:eastAsia="tr-TR"/>
              </w:rPr>
            </w:pPr>
            <w:r w:rsidRPr="00FE0228">
              <w:rPr>
                <w:rFonts w:ascii="Aptos" w:eastAsia="Times New Roman" w:hAnsi="Aptos" w:cstheme="minorHAnsi"/>
                <w:b/>
                <w:bCs/>
                <w:color w:val="000000"/>
                <w:lang w:eastAsia="tr-TR"/>
              </w:rPr>
              <w:t>31,5</w:t>
            </w:r>
          </w:p>
        </w:tc>
      </w:tr>
      <w:tr w:rsidR="00EE4CD3" w:rsidRPr="00C83013" w14:paraId="7571CCDF" w14:textId="330488B4" w:rsidTr="00FE0228">
        <w:trPr>
          <w:trHeight w:val="300"/>
        </w:trPr>
        <w:tc>
          <w:tcPr>
            <w:tcW w:w="363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C4D367" w14:textId="77777777" w:rsidR="00EE4CD3" w:rsidRPr="00FE0228" w:rsidRDefault="00EE4CD3" w:rsidP="002B7903">
            <w:pPr>
              <w:spacing w:after="0" w:line="240" w:lineRule="auto"/>
              <w:jc w:val="both"/>
              <w:rPr>
                <w:rFonts w:ascii="Aptos" w:eastAsia="Times New Roman" w:hAnsi="Aptos" w:cs="Times New Roman"/>
                <w:b/>
                <w:bCs/>
                <w:color w:val="333333"/>
                <w:lang w:eastAsia="tr-TR"/>
              </w:rPr>
            </w:pPr>
            <w:r w:rsidRPr="00FE0228">
              <w:rPr>
                <w:rFonts w:ascii="Aptos" w:eastAsia="Times New Roman" w:hAnsi="Aptos" w:cs="Times New Roman"/>
                <w:b/>
                <w:bCs/>
                <w:color w:val="333333"/>
                <w:lang w:eastAsia="tr-TR"/>
              </w:rPr>
              <w:t>Dörtyol-Ceyhan (BOTAŞ CEYHAN)</w:t>
            </w:r>
          </w:p>
        </w:tc>
        <w:tc>
          <w:tcPr>
            <w:tcW w:w="17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EF1127" w14:textId="5546973A" w:rsidR="00EE4CD3" w:rsidRPr="00FE0228" w:rsidRDefault="00EE4CD3" w:rsidP="002B7903">
            <w:pPr>
              <w:spacing w:after="0" w:line="240" w:lineRule="auto"/>
              <w:jc w:val="center"/>
              <w:rPr>
                <w:rFonts w:ascii="Aptos" w:eastAsia="Times New Roman" w:hAnsi="Aptos" w:cs="Times New Roman"/>
                <w:b/>
                <w:bCs/>
                <w:color w:val="000000"/>
                <w:lang w:eastAsia="tr-TR"/>
              </w:rPr>
            </w:pPr>
            <w:r w:rsidRPr="00FE0228">
              <w:rPr>
                <w:rFonts w:ascii="Aptos" w:eastAsia="Times New Roman" w:hAnsi="Aptos" w:cstheme="minorHAnsi"/>
                <w:b/>
                <w:bCs/>
                <w:color w:val="000000"/>
                <w:lang w:eastAsia="tr-TR"/>
              </w:rPr>
              <w:t>10</w:t>
            </w:r>
          </w:p>
        </w:tc>
        <w:tc>
          <w:tcPr>
            <w:tcW w:w="1774" w:type="dxa"/>
            <w:tcBorders>
              <w:top w:val="single" w:sz="12" w:space="0" w:color="auto"/>
              <w:left w:val="single" w:sz="12" w:space="0" w:color="auto"/>
              <w:bottom w:val="single" w:sz="12" w:space="0" w:color="auto"/>
              <w:right w:val="single" w:sz="12" w:space="0" w:color="auto"/>
            </w:tcBorders>
          </w:tcPr>
          <w:p w14:paraId="4FFD2B45" w14:textId="059BC545" w:rsidR="00EE4CD3" w:rsidRPr="00FE0228" w:rsidRDefault="001F1926" w:rsidP="002B7903">
            <w:pPr>
              <w:spacing w:after="0" w:line="240" w:lineRule="auto"/>
              <w:jc w:val="center"/>
              <w:rPr>
                <w:rFonts w:ascii="Aptos" w:eastAsia="Times New Roman" w:hAnsi="Aptos" w:cstheme="minorHAnsi"/>
                <w:b/>
                <w:bCs/>
                <w:color w:val="000000"/>
                <w:lang w:eastAsia="tr-TR"/>
              </w:rPr>
            </w:pPr>
            <w:r w:rsidRPr="00FE0228">
              <w:rPr>
                <w:rFonts w:ascii="Aptos" w:eastAsia="Times New Roman" w:hAnsi="Aptos" w:cstheme="minorHAnsi"/>
                <w:b/>
                <w:bCs/>
                <w:color w:val="000000"/>
                <w:lang w:eastAsia="tr-TR"/>
              </w:rPr>
              <w:t>63</w:t>
            </w:r>
          </w:p>
        </w:tc>
      </w:tr>
    </w:tbl>
    <w:p w14:paraId="36F0E1CA" w14:textId="77777777" w:rsidR="002B7903" w:rsidRDefault="002B7903" w:rsidP="000D310F">
      <w:pPr>
        <w:pStyle w:val="ListeParagraf"/>
        <w:tabs>
          <w:tab w:val="left" w:pos="284"/>
        </w:tabs>
        <w:ind w:left="0"/>
        <w:jc w:val="center"/>
        <w:rPr>
          <w:rFonts w:cstheme="minorHAnsi"/>
          <w:b/>
          <w:bCs/>
          <w:sz w:val="22"/>
          <w:szCs w:val="22"/>
          <w:u w:val="single"/>
        </w:rPr>
      </w:pPr>
    </w:p>
    <w:p w14:paraId="38F0645F" w14:textId="77777777" w:rsidR="002B7903" w:rsidRDefault="002B7903" w:rsidP="000D310F">
      <w:pPr>
        <w:pStyle w:val="ListeParagraf"/>
        <w:tabs>
          <w:tab w:val="left" w:pos="284"/>
        </w:tabs>
        <w:ind w:left="0"/>
        <w:jc w:val="center"/>
        <w:rPr>
          <w:rFonts w:cstheme="minorHAnsi"/>
          <w:b/>
          <w:bCs/>
          <w:sz w:val="22"/>
          <w:szCs w:val="22"/>
          <w:u w:val="single"/>
        </w:rPr>
      </w:pPr>
    </w:p>
    <w:p w14:paraId="4BCF05E7" w14:textId="77777777" w:rsidR="002B7903" w:rsidRDefault="002B7903" w:rsidP="000D310F">
      <w:pPr>
        <w:pStyle w:val="ListeParagraf"/>
        <w:tabs>
          <w:tab w:val="left" w:pos="284"/>
        </w:tabs>
        <w:ind w:left="0"/>
        <w:jc w:val="center"/>
        <w:rPr>
          <w:rFonts w:cstheme="minorHAnsi"/>
          <w:b/>
          <w:bCs/>
          <w:sz w:val="22"/>
          <w:szCs w:val="22"/>
          <w:u w:val="single"/>
        </w:rPr>
      </w:pPr>
    </w:p>
    <w:p w14:paraId="20399609" w14:textId="77777777" w:rsidR="002B7903" w:rsidRDefault="002B7903" w:rsidP="000D310F">
      <w:pPr>
        <w:pStyle w:val="ListeParagraf"/>
        <w:tabs>
          <w:tab w:val="left" w:pos="284"/>
        </w:tabs>
        <w:ind w:left="0"/>
        <w:jc w:val="center"/>
        <w:rPr>
          <w:rFonts w:cstheme="minorHAnsi"/>
          <w:b/>
          <w:bCs/>
          <w:sz w:val="22"/>
          <w:szCs w:val="22"/>
          <w:u w:val="single"/>
        </w:rPr>
      </w:pPr>
    </w:p>
    <w:p w14:paraId="438FCA10" w14:textId="77777777" w:rsidR="002B7903" w:rsidRDefault="002B7903" w:rsidP="000D310F">
      <w:pPr>
        <w:pStyle w:val="ListeParagraf"/>
        <w:tabs>
          <w:tab w:val="left" w:pos="284"/>
        </w:tabs>
        <w:ind w:left="0"/>
        <w:jc w:val="center"/>
        <w:rPr>
          <w:rFonts w:cstheme="minorHAnsi"/>
          <w:b/>
          <w:bCs/>
          <w:sz w:val="22"/>
          <w:szCs w:val="22"/>
          <w:u w:val="single"/>
        </w:rPr>
      </w:pPr>
    </w:p>
    <w:p w14:paraId="1CB2799C" w14:textId="77777777" w:rsidR="002B7903" w:rsidRDefault="002B7903" w:rsidP="000D310F">
      <w:pPr>
        <w:pStyle w:val="ListeParagraf"/>
        <w:tabs>
          <w:tab w:val="left" w:pos="284"/>
        </w:tabs>
        <w:ind w:left="0"/>
        <w:jc w:val="center"/>
        <w:rPr>
          <w:rFonts w:cstheme="minorHAnsi"/>
          <w:b/>
          <w:bCs/>
          <w:sz w:val="22"/>
          <w:szCs w:val="22"/>
          <w:u w:val="single"/>
        </w:rPr>
      </w:pPr>
    </w:p>
    <w:p w14:paraId="67AF650A" w14:textId="77777777" w:rsidR="002B7903" w:rsidRDefault="002B7903" w:rsidP="000D310F">
      <w:pPr>
        <w:pStyle w:val="ListeParagraf"/>
        <w:tabs>
          <w:tab w:val="left" w:pos="284"/>
        </w:tabs>
        <w:ind w:left="0"/>
        <w:jc w:val="center"/>
        <w:rPr>
          <w:rFonts w:cstheme="minorHAnsi"/>
          <w:b/>
          <w:bCs/>
          <w:sz w:val="22"/>
          <w:szCs w:val="22"/>
          <w:u w:val="single"/>
        </w:rPr>
      </w:pPr>
    </w:p>
    <w:p w14:paraId="5502F0E6" w14:textId="77777777" w:rsidR="002B7903" w:rsidRDefault="002B7903" w:rsidP="000D310F">
      <w:pPr>
        <w:pStyle w:val="ListeParagraf"/>
        <w:tabs>
          <w:tab w:val="left" w:pos="284"/>
        </w:tabs>
        <w:ind w:left="0"/>
        <w:jc w:val="center"/>
        <w:rPr>
          <w:rFonts w:cstheme="minorHAnsi"/>
          <w:b/>
          <w:bCs/>
          <w:sz w:val="22"/>
          <w:szCs w:val="22"/>
          <w:u w:val="single"/>
        </w:rPr>
      </w:pPr>
    </w:p>
    <w:p w14:paraId="7E93F18C" w14:textId="77777777" w:rsidR="002B7903" w:rsidRPr="00B868DA" w:rsidRDefault="002B7903" w:rsidP="00B868DA">
      <w:pPr>
        <w:jc w:val="both"/>
        <w:rPr>
          <w:rFonts w:cstheme="minorHAnsi"/>
          <w:sz w:val="24"/>
          <w:szCs w:val="24"/>
        </w:rPr>
      </w:pPr>
    </w:p>
    <w:p w14:paraId="206AA063" w14:textId="3D6E21EC" w:rsidR="002B7903" w:rsidRDefault="00B868DA" w:rsidP="00B868DA">
      <w:pPr>
        <w:jc w:val="both"/>
        <w:rPr>
          <w:rFonts w:cstheme="minorHAnsi"/>
          <w:sz w:val="24"/>
          <w:szCs w:val="24"/>
        </w:rPr>
      </w:pPr>
      <w:r>
        <w:rPr>
          <w:rFonts w:cstheme="minorHAnsi"/>
          <w:sz w:val="24"/>
          <w:szCs w:val="24"/>
        </w:rPr>
        <w:t xml:space="preserve">Kerkük-Yumurtalık </w:t>
      </w:r>
      <w:r w:rsidR="002B1571">
        <w:rPr>
          <w:rFonts w:cstheme="minorHAnsi"/>
          <w:sz w:val="24"/>
          <w:szCs w:val="24"/>
        </w:rPr>
        <w:t>B</w:t>
      </w:r>
      <w:r>
        <w:rPr>
          <w:rFonts w:cstheme="minorHAnsi"/>
          <w:sz w:val="24"/>
          <w:szCs w:val="24"/>
        </w:rPr>
        <w:t xml:space="preserve">oru </w:t>
      </w:r>
      <w:r w:rsidR="002B1571">
        <w:rPr>
          <w:rFonts w:cstheme="minorHAnsi"/>
          <w:sz w:val="24"/>
          <w:szCs w:val="24"/>
        </w:rPr>
        <w:t>H</w:t>
      </w:r>
      <w:r>
        <w:rPr>
          <w:rFonts w:cstheme="minorHAnsi"/>
          <w:sz w:val="24"/>
          <w:szCs w:val="24"/>
        </w:rPr>
        <w:t xml:space="preserve">attı ve terminali </w:t>
      </w:r>
      <w:r w:rsidRPr="00B868DA">
        <w:rPr>
          <w:rFonts w:cstheme="minorHAnsi"/>
          <w:sz w:val="24"/>
          <w:szCs w:val="24"/>
        </w:rPr>
        <w:t>1976 yılında işletmeye alın</w:t>
      </w:r>
      <w:r>
        <w:rPr>
          <w:rFonts w:cstheme="minorHAnsi"/>
          <w:sz w:val="24"/>
          <w:szCs w:val="24"/>
        </w:rPr>
        <w:t xml:space="preserve">mış, </w:t>
      </w:r>
      <w:r w:rsidRPr="00B868DA">
        <w:rPr>
          <w:rFonts w:cstheme="minorHAnsi"/>
          <w:sz w:val="24"/>
          <w:szCs w:val="24"/>
        </w:rPr>
        <w:t>ilk tanker yüklemesi 25 Mayıs 1977 tarihinde gerçekleştirilmiş</w:t>
      </w:r>
      <w:r>
        <w:rPr>
          <w:rFonts w:cstheme="minorHAnsi"/>
          <w:sz w:val="24"/>
          <w:szCs w:val="24"/>
        </w:rPr>
        <w:t xml:space="preserve">tir. İki boru hattından oluşan Kerkük-Yumurtalık boru </w:t>
      </w:r>
      <w:r>
        <w:rPr>
          <w:rFonts w:cstheme="minorHAnsi"/>
          <w:sz w:val="24"/>
          <w:szCs w:val="24"/>
        </w:rPr>
        <w:lastRenderedPageBreak/>
        <w:t xml:space="preserve">hattında </w:t>
      </w:r>
      <w:r w:rsidR="000D7AF7" w:rsidRPr="00B868DA">
        <w:rPr>
          <w:rFonts w:cstheme="minorHAnsi"/>
          <w:sz w:val="24"/>
          <w:szCs w:val="24"/>
        </w:rPr>
        <w:t xml:space="preserve">birinci </w:t>
      </w:r>
      <w:r w:rsidR="000D7AF7">
        <w:rPr>
          <w:rFonts w:cstheme="minorHAnsi"/>
          <w:sz w:val="24"/>
          <w:szCs w:val="24"/>
        </w:rPr>
        <w:t xml:space="preserve">boru hattı </w:t>
      </w:r>
      <w:r w:rsidR="000D7AF7" w:rsidRPr="00B868DA">
        <w:rPr>
          <w:rFonts w:cstheme="minorHAnsi"/>
          <w:sz w:val="24"/>
          <w:szCs w:val="24"/>
        </w:rPr>
        <w:t>40 inç ve 986 km</w:t>
      </w:r>
      <w:r w:rsidR="000D7AF7">
        <w:rPr>
          <w:rFonts w:cstheme="minorHAnsi"/>
          <w:sz w:val="24"/>
          <w:szCs w:val="24"/>
        </w:rPr>
        <w:t xml:space="preserve">, </w:t>
      </w:r>
      <w:r w:rsidR="000D7AF7" w:rsidRPr="00B868DA">
        <w:rPr>
          <w:rFonts w:cstheme="minorHAnsi"/>
          <w:sz w:val="24"/>
          <w:szCs w:val="24"/>
        </w:rPr>
        <w:t xml:space="preserve">1987'de açılan </w:t>
      </w:r>
      <w:r w:rsidR="000D7AF7">
        <w:rPr>
          <w:rFonts w:cstheme="minorHAnsi"/>
          <w:sz w:val="24"/>
          <w:szCs w:val="24"/>
        </w:rPr>
        <w:t xml:space="preserve">ikinci boru hattı </w:t>
      </w:r>
      <w:r w:rsidRPr="00B868DA">
        <w:rPr>
          <w:rFonts w:cstheme="minorHAnsi"/>
          <w:sz w:val="24"/>
          <w:szCs w:val="24"/>
        </w:rPr>
        <w:t xml:space="preserve">46 inç ve 890 km uzunluğundadır. </w:t>
      </w:r>
    </w:p>
    <w:p w14:paraId="1C6016B8" w14:textId="68E92292" w:rsidR="00136EFF" w:rsidRDefault="002B1571" w:rsidP="00636A1C">
      <w:pPr>
        <w:jc w:val="both"/>
        <w:rPr>
          <w:rFonts w:cstheme="minorHAnsi"/>
          <w:sz w:val="24"/>
          <w:szCs w:val="24"/>
        </w:rPr>
      </w:pPr>
      <w:r w:rsidRPr="002B1571">
        <w:rPr>
          <w:rFonts w:cstheme="minorHAnsi"/>
          <w:sz w:val="24"/>
          <w:szCs w:val="24"/>
        </w:rPr>
        <w:t>Bakü-Tiflis-Ceyhan (BTC) Boru Hattı</w:t>
      </w:r>
      <w:r w:rsidR="00A7074C">
        <w:rPr>
          <w:rFonts w:cstheme="minorHAnsi"/>
          <w:sz w:val="24"/>
          <w:szCs w:val="24"/>
        </w:rPr>
        <w:t xml:space="preserve"> 42 inç ve </w:t>
      </w:r>
      <w:r w:rsidR="002508A0" w:rsidRPr="002B1571">
        <w:rPr>
          <w:rFonts w:cstheme="minorHAnsi"/>
          <w:sz w:val="24"/>
          <w:szCs w:val="24"/>
        </w:rPr>
        <w:t>1.768 km</w:t>
      </w:r>
      <w:r w:rsidR="00136EFF">
        <w:rPr>
          <w:rFonts w:cstheme="minorHAnsi"/>
          <w:sz w:val="24"/>
          <w:szCs w:val="24"/>
        </w:rPr>
        <w:t xml:space="preserve"> dir. </w:t>
      </w:r>
      <w:hyperlink r:id="rId22" w:tooltip="Azerbaycan" w:history="1">
        <w:r w:rsidRPr="002B1571">
          <w:rPr>
            <w:rFonts w:cstheme="minorHAnsi"/>
            <w:sz w:val="24"/>
            <w:szCs w:val="24"/>
          </w:rPr>
          <w:t>Azerbaycan</w:t>
        </w:r>
      </w:hyperlink>
      <w:r w:rsidR="00136EFF">
        <w:rPr>
          <w:rFonts w:cstheme="minorHAnsi"/>
          <w:sz w:val="24"/>
          <w:szCs w:val="24"/>
        </w:rPr>
        <w:t>’ın başkenti</w:t>
      </w:r>
      <w:r w:rsidRPr="002B1571">
        <w:rPr>
          <w:rFonts w:cstheme="minorHAnsi"/>
          <w:sz w:val="24"/>
          <w:szCs w:val="24"/>
        </w:rPr>
        <w:t> </w:t>
      </w:r>
      <w:hyperlink r:id="rId23" w:tooltip="Bakü" w:history="1">
        <w:r w:rsidRPr="002B1571">
          <w:rPr>
            <w:rFonts w:cstheme="minorHAnsi"/>
            <w:sz w:val="24"/>
            <w:szCs w:val="24"/>
          </w:rPr>
          <w:t>Bakü</w:t>
        </w:r>
      </w:hyperlink>
      <w:r w:rsidRPr="002B1571">
        <w:rPr>
          <w:rFonts w:cstheme="minorHAnsi"/>
          <w:sz w:val="24"/>
          <w:szCs w:val="24"/>
        </w:rPr>
        <w:t> yakınlarındaki </w:t>
      </w:r>
      <w:hyperlink r:id="rId24" w:tooltip="Sangaçal Terminali" w:history="1">
        <w:r w:rsidRPr="002B1571">
          <w:rPr>
            <w:rFonts w:cstheme="minorHAnsi"/>
            <w:sz w:val="24"/>
            <w:szCs w:val="24"/>
          </w:rPr>
          <w:t>Sangaçal</w:t>
        </w:r>
        <w:r w:rsidR="00286D51">
          <w:rPr>
            <w:rFonts w:cstheme="minorHAnsi"/>
            <w:sz w:val="24"/>
            <w:szCs w:val="24"/>
          </w:rPr>
          <w:t xml:space="preserve"> </w:t>
        </w:r>
        <w:r w:rsidRPr="002B1571">
          <w:rPr>
            <w:rFonts w:cstheme="minorHAnsi"/>
            <w:sz w:val="24"/>
            <w:szCs w:val="24"/>
          </w:rPr>
          <w:t>Terminali</w:t>
        </w:r>
      </w:hyperlink>
      <w:r w:rsidRPr="002B1571">
        <w:rPr>
          <w:rFonts w:cstheme="minorHAnsi"/>
          <w:sz w:val="24"/>
          <w:szCs w:val="24"/>
        </w:rPr>
        <w:t xml:space="preserve">'nden gelen </w:t>
      </w:r>
      <w:r w:rsidR="00636A1C">
        <w:rPr>
          <w:rFonts w:cstheme="minorHAnsi"/>
          <w:sz w:val="24"/>
          <w:szCs w:val="24"/>
        </w:rPr>
        <w:t xml:space="preserve">boru hattı </w:t>
      </w:r>
      <w:hyperlink r:id="rId25" w:tooltip="Azerbaycan" w:history="1">
        <w:r w:rsidR="00636A1C" w:rsidRPr="002B1571">
          <w:rPr>
            <w:rFonts w:cstheme="minorHAnsi"/>
            <w:sz w:val="24"/>
            <w:szCs w:val="24"/>
          </w:rPr>
          <w:t>Azerbaycan</w:t>
        </w:r>
      </w:hyperlink>
      <w:r w:rsidR="00636A1C">
        <w:rPr>
          <w:rFonts w:cstheme="minorHAnsi"/>
          <w:sz w:val="24"/>
          <w:szCs w:val="24"/>
        </w:rPr>
        <w:t xml:space="preserve"> ve</w:t>
      </w:r>
      <w:r w:rsidR="00286D51">
        <w:rPr>
          <w:rFonts w:cstheme="minorHAnsi"/>
          <w:sz w:val="24"/>
          <w:szCs w:val="24"/>
        </w:rPr>
        <w:t xml:space="preserve"> </w:t>
      </w:r>
      <w:hyperlink r:id="rId26" w:tooltip="Gürcistan" w:history="1">
        <w:r w:rsidR="00636A1C" w:rsidRPr="002B1571">
          <w:rPr>
            <w:rFonts w:cstheme="minorHAnsi"/>
            <w:sz w:val="24"/>
            <w:szCs w:val="24"/>
          </w:rPr>
          <w:t>Gürcistan</w:t>
        </w:r>
      </w:hyperlink>
      <w:r w:rsidR="00636A1C">
        <w:rPr>
          <w:rFonts w:cstheme="minorHAnsi"/>
          <w:sz w:val="24"/>
          <w:szCs w:val="24"/>
        </w:rPr>
        <w:t>’tan geçtikten sonra Türkiye’ye girmekte, ham</w:t>
      </w:r>
      <w:r w:rsidRPr="002B1571">
        <w:rPr>
          <w:rFonts w:cstheme="minorHAnsi"/>
          <w:sz w:val="24"/>
          <w:szCs w:val="24"/>
        </w:rPr>
        <w:t>petrolü </w:t>
      </w:r>
      <w:hyperlink r:id="rId27" w:tooltip="Ceyhan" w:history="1">
        <w:r w:rsidRPr="002B1571">
          <w:rPr>
            <w:rFonts w:cstheme="minorHAnsi"/>
            <w:sz w:val="24"/>
            <w:szCs w:val="24"/>
          </w:rPr>
          <w:t>Ceyhan</w:t>
        </w:r>
      </w:hyperlink>
      <w:r w:rsidR="00636A1C">
        <w:rPr>
          <w:rFonts w:cstheme="minorHAnsi"/>
          <w:sz w:val="24"/>
          <w:szCs w:val="24"/>
        </w:rPr>
        <w:t>’</w:t>
      </w:r>
      <w:r w:rsidR="00233FB4">
        <w:rPr>
          <w:rFonts w:cstheme="minorHAnsi"/>
          <w:sz w:val="24"/>
          <w:szCs w:val="24"/>
        </w:rPr>
        <w:t>a</w:t>
      </w:r>
      <w:r w:rsidR="00636A1C">
        <w:rPr>
          <w:rFonts w:cstheme="minorHAnsi"/>
          <w:sz w:val="24"/>
          <w:szCs w:val="24"/>
        </w:rPr>
        <w:t xml:space="preserve"> taşımaktadır. </w:t>
      </w:r>
    </w:p>
    <w:p w14:paraId="4134740A" w14:textId="655DE746" w:rsidR="001F1926" w:rsidRDefault="00136EFF" w:rsidP="00A7074C">
      <w:pPr>
        <w:jc w:val="both"/>
        <w:rPr>
          <w:rFonts w:cstheme="minorHAnsi"/>
          <w:sz w:val="24"/>
          <w:szCs w:val="24"/>
        </w:rPr>
      </w:pPr>
      <w:r w:rsidRPr="002B1571">
        <w:rPr>
          <w:rFonts w:cstheme="minorHAnsi"/>
          <w:sz w:val="24"/>
          <w:szCs w:val="24"/>
        </w:rPr>
        <w:t xml:space="preserve"> </w:t>
      </w:r>
      <w:r w:rsidR="003F42E9">
        <w:rPr>
          <w:rFonts w:cstheme="minorHAnsi"/>
          <w:sz w:val="24"/>
          <w:szCs w:val="24"/>
        </w:rPr>
        <w:t xml:space="preserve">Aşağıda Tablo-2’de bu boru hattı terminallerinde elleçlenen hampetrol miktarları verilmektedir. Bu miktarlar içinde liman istatistiklerine dahil olan </w:t>
      </w:r>
      <w:r w:rsidR="00027211" w:rsidRPr="00B97965">
        <w:rPr>
          <w:rFonts w:cstheme="minorHAnsi"/>
          <w:sz w:val="24"/>
          <w:szCs w:val="24"/>
        </w:rPr>
        <w:t>Kerkük-Yumurtalık (BOTAŞ Ceyhan) ve Bakü-Tiflis-Ceyhan (BTC)</w:t>
      </w:r>
      <w:r w:rsidR="00027211">
        <w:rPr>
          <w:rFonts w:cstheme="minorHAnsi"/>
          <w:sz w:val="24"/>
          <w:szCs w:val="24"/>
        </w:rPr>
        <w:t xml:space="preserve"> terminallerinden </w:t>
      </w:r>
      <w:r w:rsidR="003F42E9">
        <w:rPr>
          <w:rFonts w:cstheme="minorHAnsi"/>
          <w:sz w:val="24"/>
          <w:szCs w:val="24"/>
        </w:rPr>
        <w:t>gemiler</w:t>
      </w:r>
      <w:r w:rsidR="00027211">
        <w:rPr>
          <w:rFonts w:cstheme="minorHAnsi"/>
          <w:sz w:val="24"/>
          <w:szCs w:val="24"/>
        </w:rPr>
        <w:t>e yapılan yüklemeler</w:t>
      </w:r>
      <w:r w:rsidR="00A265FF">
        <w:rPr>
          <w:rFonts w:cstheme="minorHAnsi"/>
          <w:sz w:val="24"/>
          <w:szCs w:val="24"/>
        </w:rPr>
        <w:t xml:space="preserve">dir. Diğerleri boru hatları üzerinden karadaki bir yerden diğer bir boru hattı ile yapılan </w:t>
      </w:r>
      <w:r w:rsidR="00286D51">
        <w:rPr>
          <w:rFonts w:cstheme="minorHAnsi"/>
          <w:sz w:val="24"/>
          <w:szCs w:val="24"/>
        </w:rPr>
        <w:t>taşımalardır.</w:t>
      </w:r>
    </w:p>
    <w:p w14:paraId="3CA2BD48" w14:textId="4F44A2EF" w:rsidR="002F77B2" w:rsidRPr="00A7074C" w:rsidRDefault="002F77B2" w:rsidP="00A7074C">
      <w:pPr>
        <w:jc w:val="both"/>
        <w:rPr>
          <w:rFonts w:cstheme="minorHAnsi"/>
          <w:sz w:val="24"/>
          <w:szCs w:val="24"/>
        </w:rPr>
      </w:pPr>
      <w:r>
        <w:rPr>
          <w:rFonts w:cstheme="minorHAnsi"/>
          <w:sz w:val="24"/>
          <w:szCs w:val="24"/>
        </w:rPr>
        <w:t xml:space="preserve">Ayrıca Türkiye’de yurtdışından ithal edilerek </w:t>
      </w:r>
      <w:r>
        <w:rPr>
          <w:rFonts w:cstheme="minorHAnsi"/>
          <w:sz w:val="24"/>
          <w:szCs w:val="24"/>
        </w:rPr>
        <w:t>yine denizyoluyla</w:t>
      </w:r>
      <w:r w:rsidR="004B1B36">
        <w:rPr>
          <w:rFonts w:cstheme="minorHAnsi"/>
          <w:sz w:val="24"/>
          <w:szCs w:val="24"/>
        </w:rPr>
        <w:t xml:space="preserve"> TÜPRAŞ (Aliağa ve Yarımca) ve STAR (Aliağa) rafinerilerine </w:t>
      </w:r>
      <w:r w:rsidR="00E7234B">
        <w:rPr>
          <w:rFonts w:cstheme="minorHAnsi"/>
          <w:sz w:val="24"/>
          <w:szCs w:val="24"/>
        </w:rPr>
        <w:t>gelem hampetrol bu çalışmanın dışındadır.</w:t>
      </w:r>
      <w:r w:rsidR="00730F8A">
        <w:rPr>
          <w:rFonts w:cstheme="minorHAnsi"/>
          <w:sz w:val="24"/>
          <w:szCs w:val="24"/>
        </w:rPr>
        <w:t xml:space="preserve"> İ</w:t>
      </w:r>
      <w:r w:rsidR="00730F8A">
        <w:rPr>
          <w:rFonts w:cstheme="minorHAnsi"/>
          <w:sz w:val="24"/>
          <w:szCs w:val="24"/>
        </w:rPr>
        <w:t>lgili rafineriler</w:t>
      </w:r>
      <w:r w:rsidR="00730F8A">
        <w:rPr>
          <w:rFonts w:cstheme="minorHAnsi"/>
          <w:sz w:val="24"/>
          <w:szCs w:val="24"/>
        </w:rPr>
        <w:t>in</w:t>
      </w:r>
      <w:r w:rsidR="00730F8A">
        <w:rPr>
          <w:rFonts w:cstheme="minorHAnsi"/>
          <w:sz w:val="24"/>
          <w:szCs w:val="24"/>
        </w:rPr>
        <w:t xml:space="preserve"> bakım veya onarım gibi duruşları dışında  </w:t>
      </w:r>
      <w:r w:rsidR="00730F8A">
        <w:rPr>
          <w:rFonts w:cstheme="minorHAnsi"/>
          <w:sz w:val="24"/>
          <w:szCs w:val="24"/>
        </w:rPr>
        <w:t xml:space="preserve">rafinerilere gelen hampetrol miktarları </w:t>
      </w:r>
      <w:r w:rsidR="00DE1F8A">
        <w:rPr>
          <w:rFonts w:cstheme="minorHAnsi"/>
          <w:sz w:val="24"/>
          <w:szCs w:val="24"/>
        </w:rPr>
        <w:t>kapasitelerine bağlı olarak değişmemektedir.</w:t>
      </w:r>
    </w:p>
    <w:p w14:paraId="4FE7C345" w14:textId="7E1974BF" w:rsidR="000D310F" w:rsidRPr="00B97965" w:rsidRDefault="000D310F" w:rsidP="000D310F">
      <w:pPr>
        <w:pStyle w:val="ListeParagraf"/>
        <w:tabs>
          <w:tab w:val="left" w:pos="284"/>
        </w:tabs>
        <w:ind w:left="0"/>
        <w:jc w:val="center"/>
        <w:rPr>
          <w:rFonts w:cstheme="minorHAnsi"/>
          <w:b/>
          <w:bCs/>
          <w:sz w:val="22"/>
          <w:szCs w:val="22"/>
        </w:rPr>
      </w:pPr>
      <w:r w:rsidRPr="00B97965">
        <w:rPr>
          <w:rFonts w:cstheme="minorHAnsi"/>
          <w:b/>
          <w:bCs/>
          <w:sz w:val="22"/>
          <w:szCs w:val="22"/>
          <w:u w:val="single"/>
        </w:rPr>
        <w:t>Tablo-</w:t>
      </w:r>
      <w:r w:rsidR="00030F80">
        <w:rPr>
          <w:rFonts w:cstheme="minorHAnsi"/>
          <w:b/>
          <w:bCs/>
          <w:sz w:val="22"/>
          <w:szCs w:val="22"/>
          <w:u w:val="single"/>
        </w:rPr>
        <w:t>2</w:t>
      </w:r>
      <w:r w:rsidRPr="00B97965">
        <w:rPr>
          <w:rFonts w:cstheme="minorHAnsi"/>
          <w:b/>
          <w:bCs/>
          <w:sz w:val="22"/>
          <w:szCs w:val="22"/>
          <w:u w:val="single"/>
        </w:rPr>
        <w:t>:</w:t>
      </w:r>
      <w:r w:rsidRPr="00B97965">
        <w:rPr>
          <w:rFonts w:cstheme="minorHAnsi"/>
          <w:b/>
          <w:bCs/>
          <w:sz w:val="22"/>
          <w:szCs w:val="22"/>
        </w:rPr>
        <w:t xml:space="preserve"> BOTAŞ-BTC Hampetrol Terminalleri Tonajları (Milyon Ton) ve Büyüme Oranı (2012-2024*)</w:t>
      </w:r>
    </w:p>
    <w:tbl>
      <w:tblPr>
        <w:tblW w:w="9488" w:type="dxa"/>
        <w:tblCellMar>
          <w:left w:w="70" w:type="dxa"/>
          <w:right w:w="70" w:type="dxa"/>
        </w:tblCellMar>
        <w:tblLook w:val="04A0" w:firstRow="1" w:lastRow="0" w:firstColumn="1" w:lastColumn="0" w:noHBand="0" w:noVBand="1"/>
      </w:tblPr>
      <w:tblGrid>
        <w:gridCol w:w="975"/>
        <w:gridCol w:w="1240"/>
        <w:gridCol w:w="1243"/>
        <w:gridCol w:w="1120"/>
        <w:gridCol w:w="1412"/>
        <w:gridCol w:w="1375"/>
        <w:gridCol w:w="1020"/>
        <w:gridCol w:w="957"/>
        <w:gridCol w:w="146"/>
      </w:tblGrid>
      <w:tr w:rsidR="000D310F" w:rsidRPr="00734BD1" w14:paraId="7D2248AC" w14:textId="77777777" w:rsidTr="00B97965">
        <w:trPr>
          <w:gridAfter w:val="1"/>
          <w:wAfter w:w="146" w:type="dxa"/>
          <w:trHeight w:val="493"/>
        </w:trPr>
        <w:tc>
          <w:tcPr>
            <w:tcW w:w="975" w:type="dxa"/>
            <w:vMerge w:val="restart"/>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093AFE8B" w14:textId="77777777" w:rsidR="000D310F" w:rsidRPr="00734BD1" w:rsidRDefault="000D310F">
            <w:pPr>
              <w:spacing w:after="0" w:line="240" w:lineRule="auto"/>
              <w:jc w:val="center"/>
              <w:rPr>
                <w:rFonts w:ascii="Aptos" w:eastAsia="Times New Roman" w:hAnsi="Aptos" w:cs="Times New Roman"/>
                <w:b/>
                <w:bCs/>
                <w:color w:val="333333"/>
                <w:lang w:eastAsia="tr-TR"/>
              </w:rPr>
            </w:pPr>
            <w:r w:rsidRPr="00734BD1">
              <w:rPr>
                <w:rFonts w:ascii="Aptos" w:eastAsia="Times New Roman" w:hAnsi="Aptos" w:cs="Times New Roman"/>
                <w:b/>
                <w:bCs/>
                <w:color w:val="333333"/>
                <w:lang w:eastAsia="tr-TR"/>
              </w:rPr>
              <w:t>Yıllar</w:t>
            </w:r>
          </w:p>
        </w:tc>
        <w:tc>
          <w:tcPr>
            <w:tcW w:w="1240" w:type="dxa"/>
            <w:vMerge w:val="restart"/>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3743D11F" w14:textId="77777777" w:rsidR="000D310F" w:rsidRPr="00734BD1" w:rsidRDefault="000D310F">
            <w:pPr>
              <w:spacing w:after="0" w:line="240" w:lineRule="auto"/>
              <w:jc w:val="center"/>
              <w:rPr>
                <w:rFonts w:ascii="Aptos" w:eastAsia="Times New Roman" w:hAnsi="Aptos" w:cs="Times New Roman"/>
                <w:b/>
                <w:bCs/>
                <w:color w:val="333333"/>
                <w:lang w:eastAsia="tr-TR"/>
              </w:rPr>
            </w:pPr>
            <w:r w:rsidRPr="00734BD1">
              <w:rPr>
                <w:rFonts w:ascii="Aptos" w:eastAsia="Times New Roman" w:hAnsi="Aptos" w:cs="Times New Roman"/>
                <w:b/>
                <w:bCs/>
                <w:color w:val="333333"/>
                <w:lang w:eastAsia="tr-TR"/>
              </w:rPr>
              <w:t>Kerkük-Yumurtalık (BOTAŞ Ceyhan)</w:t>
            </w:r>
          </w:p>
        </w:tc>
        <w:tc>
          <w:tcPr>
            <w:tcW w:w="1243" w:type="dxa"/>
            <w:vMerge w:val="restart"/>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3FBA55B3" w14:textId="77777777" w:rsidR="000D310F" w:rsidRPr="00734BD1" w:rsidRDefault="000D310F">
            <w:pPr>
              <w:spacing w:after="0" w:line="240" w:lineRule="auto"/>
              <w:jc w:val="center"/>
              <w:rPr>
                <w:rFonts w:ascii="Aptos" w:eastAsia="Times New Roman" w:hAnsi="Aptos" w:cs="Times New Roman"/>
                <w:b/>
                <w:bCs/>
                <w:color w:val="333333"/>
                <w:lang w:eastAsia="tr-TR"/>
              </w:rPr>
            </w:pPr>
            <w:r w:rsidRPr="00734BD1">
              <w:rPr>
                <w:rFonts w:ascii="Aptos" w:eastAsia="Times New Roman" w:hAnsi="Aptos" w:cs="Times New Roman"/>
                <w:b/>
                <w:bCs/>
                <w:color w:val="333333"/>
                <w:lang w:eastAsia="tr-TR"/>
              </w:rPr>
              <w:t>Ceyhan-Kırıkkale (BOTAŞ Ceyhan)</w:t>
            </w:r>
          </w:p>
        </w:tc>
        <w:tc>
          <w:tcPr>
            <w:tcW w:w="1120" w:type="dxa"/>
            <w:vMerge w:val="restart"/>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6A7679C9" w14:textId="77777777" w:rsidR="000D310F" w:rsidRPr="00734BD1" w:rsidRDefault="000D310F">
            <w:pPr>
              <w:spacing w:after="0" w:line="240" w:lineRule="auto"/>
              <w:jc w:val="center"/>
              <w:rPr>
                <w:rFonts w:ascii="Aptos" w:eastAsia="Times New Roman" w:hAnsi="Aptos" w:cs="Times New Roman"/>
                <w:b/>
                <w:bCs/>
                <w:color w:val="333333"/>
                <w:lang w:eastAsia="tr-TR"/>
              </w:rPr>
            </w:pPr>
            <w:r w:rsidRPr="00734BD1">
              <w:rPr>
                <w:rFonts w:ascii="Aptos" w:eastAsia="Times New Roman" w:hAnsi="Aptos" w:cs="Times New Roman"/>
                <w:b/>
                <w:bCs/>
                <w:color w:val="333333"/>
                <w:lang w:eastAsia="tr-TR"/>
              </w:rPr>
              <w:t>Batman-Dörtyol (BOTAŞ Dörtyol)</w:t>
            </w:r>
          </w:p>
        </w:tc>
        <w:tc>
          <w:tcPr>
            <w:tcW w:w="1412" w:type="dxa"/>
            <w:vMerge w:val="restart"/>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5E2AF1FA" w14:textId="77777777" w:rsidR="000D310F" w:rsidRPr="00734BD1" w:rsidRDefault="000D310F">
            <w:pPr>
              <w:spacing w:after="0" w:line="240" w:lineRule="auto"/>
              <w:jc w:val="center"/>
              <w:rPr>
                <w:rFonts w:ascii="Aptos" w:eastAsia="Times New Roman" w:hAnsi="Aptos" w:cs="Times New Roman"/>
                <w:b/>
                <w:bCs/>
                <w:color w:val="333333"/>
                <w:lang w:eastAsia="tr-TR"/>
              </w:rPr>
            </w:pPr>
            <w:r w:rsidRPr="00734BD1">
              <w:rPr>
                <w:rFonts w:ascii="Aptos" w:eastAsia="Times New Roman" w:hAnsi="Aptos" w:cs="Times New Roman"/>
                <w:b/>
                <w:bCs/>
                <w:color w:val="333333"/>
                <w:lang w:eastAsia="tr-TR"/>
              </w:rPr>
              <w:t>Dörtyol-Ceyhan (BOTAŞ CEYHAN)</w:t>
            </w:r>
          </w:p>
        </w:tc>
        <w:tc>
          <w:tcPr>
            <w:tcW w:w="1375" w:type="dxa"/>
            <w:vMerge w:val="restart"/>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3091FB7B" w14:textId="77777777" w:rsidR="000D310F" w:rsidRPr="00734BD1" w:rsidRDefault="000D310F">
            <w:pPr>
              <w:spacing w:after="0" w:line="240" w:lineRule="auto"/>
              <w:jc w:val="center"/>
              <w:rPr>
                <w:rFonts w:ascii="Aptos" w:eastAsia="Times New Roman" w:hAnsi="Aptos" w:cs="Times New Roman"/>
                <w:b/>
                <w:bCs/>
                <w:color w:val="333333"/>
                <w:lang w:eastAsia="tr-TR"/>
              </w:rPr>
            </w:pPr>
            <w:r w:rsidRPr="00734BD1">
              <w:rPr>
                <w:rFonts w:ascii="Aptos" w:eastAsia="Times New Roman" w:hAnsi="Aptos" w:cs="Times New Roman"/>
                <w:b/>
                <w:bCs/>
                <w:color w:val="333333"/>
                <w:lang w:eastAsia="tr-TR"/>
              </w:rPr>
              <w:t>Bakü-Tiflis-Ceyhan (BTC)</w:t>
            </w:r>
          </w:p>
        </w:tc>
        <w:tc>
          <w:tcPr>
            <w:tcW w:w="1020" w:type="dxa"/>
            <w:vMerge w:val="restart"/>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6B697A98" w14:textId="77777777" w:rsidR="000D310F" w:rsidRPr="00734BD1" w:rsidRDefault="000D310F">
            <w:pPr>
              <w:spacing w:after="0" w:line="240" w:lineRule="auto"/>
              <w:jc w:val="center"/>
              <w:rPr>
                <w:rFonts w:ascii="Aptos" w:eastAsia="Times New Roman" w:hAnsi="Aptos" w:cs="Times New Roman"/>
                <w:b/>
                <w:bCs/>
                <w:color w:val="333333"/>
                <w:lang w:eastAsia="tr-TR"/>
              </w:rPr>
            </w:pPr>
            <w:r w:rsidRPr="00734BD1">
              <w:rPr>
                <w:rFonts w:ascii="Aptos" w:eastAsia="Times New Roman" w:hAnsi="Aptos" w:cs="Times New Roman"/>
                <w:b/>
                <w:bCs/>
                <w:color w:val="333333"/>
                <w:lang w:eastAsia="tr-TR"/>
              </w:rPr>
              <w:t>TOPLAM (Yıllık)</w:t>
            </w:r>
          </w:p>
        </w:tc>
        <w:tc>
          <w:tcPr>
            <w:tcW w:w="957" w:type="dxa"/>
            <w:vMerge w:val="restart"/>
            <w:tcBorders>
              <w:top w:val="single" w:sz="12" w:space="0" w:color="auto"/>
              <w:left w:val="single" w:sz="12" w:space="0" w:color="auto"/>
              <w:bottom w:val="single" w:sz="12" w:space="0" w:color="auto"/>
              <w:right w:val="single" w:sz="12" w:space="0" w:color="auto"/>
            </w:tcBorders>
            <w:shd w:val="clear" w:color="000000" w:fill="FFFF00"/>
            <w:vAlign w:val="center"/>
            <w:hideMark/>
          </w:tcPr>
          <w:p w14:paraId="4890FC0D" w14:textId="77777777" w:rsidR="000D310F" w:rsidRPr="00734BD1" w:rsidRDefault="000D310F">
            <w:pPr>
              <w:spacing w:after="0" w:line="240" w:lineRule="auto"/>
              <w:jc w:val="center"/>
              <w:rPr>
                <w:rFonts w:ascii="Aptos" w:eastAsia="Times New Roman" w:hAnsi="Aptos" w:cs="Times New Roman"/>
                <w:b/>
                <w:bCs/>
                <w:color w:val="333333"/>
                <w:lang w:eastAsia="tr-TR"/>
              </w:rPr>
            </w:pPr>
            <w:r w:rsidRPr="00734BD1">
              <w:rPr>
                <w:rFonts w:ascii="Aptos" w:eastAsia="Times New Roman" w:hAnsi="Aptos" w:cs="Times New Roman"/>
                <w:b/>
                <w:bCs/>
                <w:color w:val="333333"/>
                <w:lang w:eastAsia="tr-TR"/>
              </w:rPr>
              <w:t>Büyüme Oranı</w:t>
            </w:r>
          </w:p>
        </w:tc>
      </w:tr>
      <w:tr w:rsidR="000D310F" w:rsidRPr="00734BD1" w14:paraId="5C20A078" w14:textId="77777777" w:rsidTr="00B97965">
        <w:trPr>
          <w:trHeight w:val="275"/>
        </w:trPr>
        <w:tc>
          <w:tcPr>
            <w:tcW w:w="975" w:type="dxa"/>
            <w:vMerge/>
            <w:tcBorders>
              <w:top w:val="single" w:sz="12" w:space="0" w:color="auto"/>
              <w:left w:val="single" w:sz="12" w:space="0" w:color="auto"/>
              <w:bottom w:val="single" w:sz="12" w:space="0" w:color="auto"/>
              <w:right w:val="single" w:sz="12" w:space="0" w:color="auto"/>
            </w:tcBorders>
            <w:vAlign w:val="center"/>
            <w:hideMark/>
          </w:tcPr>
          <w:p w14:paraId="274AF967" w14:textId="77777777" w:rsidR="000D310F" w:rsidRPr="00734BD1" w:rsidRDefault="000D310F">
            <w:pPr>
              <w:spacing w:after="0" w:line="240" w:lineRule="auto"/>
              <w:rPr>
                <w:rFonts w:ascii="Aptos" w:eastAsia="Times New Roman" w:hAnsi="Aptos" w:cs="Times New Roman"/>
                <w:b/>
                <w:bCs/>
                <w:color w:val="333333"/>
                <w:lang w:eastAsia="tr-TR"/>
              </w:rPr>
            </w:pPr>
          </w:p>
        </w:tc>
        <w:tc>
          <w:tcPr>
            <w:tcW w:w="1240" w:type="dxa"/>
            <w:vMerge/>
            <w:tcBorders>
              <w:top w:val="single" w:sz="12" w:space="0" w:color="auto"/>
              <w:left w:val="single" w:sz="12" w:space="0" w:color="auto"/>
              <w:bottom w:val="single" w:sz="12" w:space="0" w:color="auto"/>
              <w:right w:val="single" w:sz="12" w:space="0" w:color="auto"/>
            </w:tcBorders>
            <w:vAlign w:val="center"/>
            <w:hideMark/>
          </w:tcPr>
          <w:p w14:paraId="024EB545" w14:textId="77777777" w:rsidR="000D310F" w:rsidRPr="00734BD1" w:rsidRDefault="000D310F">
            <w:pPr>
              <w:spacing w:after="0" w:line="240" w:lineRule="auto"/>
              <w:rPr>
                <w:rFonts w:ascii="Aptos" w:eastAsia="Times New Roman" w:hAnsi="Aptos" w:cs="Times New Roman"/>
                <w:b/>
                <w:bCs/>
                <w:color w:val="333333"/>
                <w:lang w:eastAsia="tr-TR"/>
              </w:rPr>
            </w:pPr>
          </w:p>
        </w:tc>
        <w:tc>
          <w:tcPr>
            <w:tcW w:w="1243" w:type="dxa"/>
            <w:vMerge/>
            <w:tcBorders>
              <w:top w:val="single" w:sz="12" w:space="0" w:color="auto"/>
              <w:left w:val="single" w:sz="12" w:space="0" w:color="auto"/>
              <w:bottom w:val="single" w:sz="12" w:space="0" w:color="auto"/>
              <w:right w:val="single" w:sz="12" w:space="0" w:color="auto"/>
            </w:tcBorders>
            <w:vAlign w:val="center"/>
            <w:hideMark/>
          </w:tcPr>
          <w:p w14:paraId="208CCB2B" w14:textId="77777777" w:rsidR="000D310F" w:rsidRPr="00734BD1" w:rsidRDefault="000D310F">
            <w:pPr>
              <w:spacing w:after="0" w:line="240" w:lineRule="auto"/>
              <w:rPr>
                <w:rFonts w:ascii="Aptos" w:eastAsia="Times New Roman" w:hAnsi="Aptos" w:cs="Times New Roman"/>
                <w:b/>
                <w:bCs/>
                <w:color w:val="333333"/>
                <w:lang w:eastAsia="tr-TR"/>
              </w:rPr>
            </w:pPr>
          </w:p>
        </w:tc>
        <w:tc>
          <w:tcPr>
            <w:tcW w:w="1120" w:type="dxa"/>
            <w:vMerge/>
            <w:tcBorders>
              <w:top w:val="single" w:sz="12" w:space="0" w:color="auto"/>
              <w:left w:val="single" w:sz="12" w:space="0" w:color="auto"/>
              <w:bottom w:val="single" w:sz="12" w:space="0" w:color="auto"/>
              <w:right w:val="single" w:sz="12" w:space="0" w:color="auto"/>
            </w:tcBorders>
            <w:vAlign w:val="center"/>
            <w:hideMark/>
          </w:tcPr>
          <w:p w14:paraId="545B05D1" w14:textId="77777777" w:rsidR="000D310F" w:rsidRPr="00734BD1" w:rsidRDefault="000D310F">
            <w:pPr>
              <w:spacing w:after="0" w:line="240" w:lineRule="auto"/>
              <w:rPr>
                <w:rFonts w:ascii="Aptos" w:eastAsia="Times New Roman" w:hAnsi="Aptos" w:cs="Times New Roman"/>
                <w:b/>
                <w:bCs/>
                <w:color w:val="333333"/>
                <w:lang w:eastAsia="tr-TR"/>
              </w:rPr>
            </w:pPr>
          </w:p>
        </w:tc>
        <w:tc>
          <w:tcPr>
            <w:tcW w:w="1412" w:type="dxa"/>
            <w:vMerge/>
            <w:tcBorders>
              <w:top w:val="single" w:sz="12" w:space="0" w:color="auto"/>
              <w:left w:val="single" w:sz="12" w:space="0" w:color="auto"/>
              <w:bottom w:val="single" w:sz="12" w:space="0" w:color="auto"/>
              <w:right w:val="single" w:sz="12" w:space="0" w:color="auto"/>
            </w:tcBorders>
            <w:vAlign w:val="center"/>
            <w:hideMark/>
          </w:tcPr>
          <w:p w14:paraId="42FB018F" w14:textId="77777777" w:rsidR="000D310F" w:rsidRPr="00734BD1" w:rsidRDefault="000D310F">
            <w:pPr>
              <w:spacing w:after="0" w:line="240" w:lineRule="auto"/>
              <w:rPr>
                <w:rFonts w:ascii="Aptos" w:eastAsia="Times New Roman" w:hAnsi="Aptos" w:cs="Times New Roman"/>
                <w:b/>
                <w:bCs/>
                <w:color w:val="333333"/>
                <w:lang w:eastAsia="tr-TR"/>
              </w:rPr>
            </w:pPr>
          </w:p>
        </w:tc>
        <w:tc>
          <w:tcPr>
            <w:tcW w:w="1375" w:type="dxa"/>
            <w:vMerge/>
            <w:tcBorders>
              <w:top w:val="single" w:sz="12" w:space="0" w:color="auto"/>
              <w:left w:val="single" w:sz="12" w:space="0" w:color="auto"/>
              <w:bottom w:val="single" w:sz="12" w:space="0" w:color="auto"/>
              <w:right w:val="single" w:sz="12" w:space="0" w:color="auto"/>
            </w:tcBorders>
            <w:vAlign w:val="center"/>
            <w:hideMark/>
          </w:tcPr>
          <w:p w14:paraId="3277B499" w14:textId="77777777" w:rsidR="000D310F" w:rsidRPr="00734BD1" w:rsidRDefault="000D310F">
            <w:pPr>
              <w:spacing w:after="0" w:line="240" w:lineRule="auto"/>
              <w:rPr>
                <w:rFonts w:ascii="Aptos" w:eastAsia="Times New Roman" w:hAnsi="Aptos" w:cs="Times New Roman"/>
                <w:b/>
                <w:bCs/>
                <w:color w:val="333333"/>
                <w:lang w:eastAsia="tr-TR"/>
              </w:rPr>
            </w:pPr>
          </w:p>
        </w:tc>
        <w:tc>
          <w:tcPr>
            <w:tcW w:w="1020" w:type="dxa"/>
            <w:vMerge/>
            <w:tcBorders>
              <w:top w:val="single" w:sz="12" w:space="0" w:color="auto"/>
              <w:left w:val="single" w:sz="12" w:space="0" w:color="auto"/>
              <w:bottom w:val="single" w:sz="12" w:space="0" w:color="auto"/>
              <w:right w:val="single" w:sz="12" w:space="0" w:color="auto"/>
            </w:tcBorders>
            <w:vAlign w:val="center"/>
            <w:hideMark/>
          </w:tcPr>
          <w:p w14:paraId="35582FC5" w14:textId="77777777" w:rsidR="000D310F" w:rsidRPr="00734BD1" w:rsidRDefault="000D310F">
            <w:pPr>
              <w:spacing w:after="0" w:line="240" w:lineRule="auto"/>
              <w:rPr>
                <w:rFonts w:ascii="Aptos" w:eastAsia="Times New Roman" w:hAnsi="Aptos" w:cs="Times New Roman"/>
                <w:b/>
                <w:bCs/>
                <w:color w:val="333333"/>
                <w:lang w:eastAsia="tr-TR"/>
              </w:rPr>
            </w:pPr>
          </w:p>
        </w:tc>
        <w:tc>
          <w:tcPr>
            <w:tcW w:w="957" w:type="dxa"/>
            <w:vMerge/>
            <w:tcBorders>
              <w:top w:val="single" w:sz="12" w:space="0" w:color="auto"/>
              <w:left w:val="single" w:sz="12" w:space="0" w:color="auto"/>
              <w:bottom w:val="single" w:sz="12" w:space="0" w:color="auto"/>
              <w:right w:val="single" w:sz="12" w:space="0" w:color="auto"/>
            </w:tcBorders>
            <w:vAlign w:val="center"/>
            <w:hideMark/>
          </w:tcPr>
          <w:p w14:paraId="132D5869" w14:textId="77777777" w:rsidR="000D310F" w:rsidRPr="00734BD1" w:rsidRDefault="000D310F">
            <w:pPr>
              <w:spacing w:after="0" w:line="240" w:lineRule="auto"/>
              <w:rPr>
                <w:rFonts w:ascii="Aptos" w:eastAsia="Times New Roman" w:hAnsi="Aptos" w:cs="Times New Roman"/>
                <w:b/>
                <w:bCs/>
                <w:color w:val="333333"/>
                <w:lang w:eastAsia="tr-TR"/>
              </w:rPr>
            </w:pPr>
          </w:p>
        </w:tc>
        <w:tc>
          <w:tcPr>
            <w:tcW w:w="146" w:type="dxa"/>
            <w:tcBorders>
              <w:top w:val="nil"/>
              <w:left w:val="single" w:sz="12" w:space="0" w:color="auto"/>
              <w:bottom w:val="nil"/>
              <w:right w:val="nil"/>
            </w:tcBorders>
            <w:shd w:val="clear" w:color="auto" w:fill="auto"/>
            <w:noWrap/>
            <w:vAlign w:val="bottom"/>
            <w:hideMark/>
          </w:tcPr>
          <w:p w14:paraId="4DA55E54" w14:textId="77777777" w:rsidR="000D310F" w:rsidRPr="00734BD1" w:rsidRDefault="000D310F">
            <w:pPr>
              <w:spacing w:after="0" w:line="240" w:lineRule="auto"/>
              <w:jc w:val="center"/>
              <w:rPr>
                <w:rFonts w:ascii="Aptos" w:eastAsia="Times New Roman" w:hAnsi="Aptos" w:cs="Times New Roman"/>
                <w:b/>
                <w:bCs/>
                <w:color w:val="333333"/>
                <w:lang w:eastAsia="tr-TR"/>
              </w:rPr>
            </w:pPr>
          </w:p>
        </w:tc>
      </w:tr>
      <w:tr w:rsidR="000D310F" w:rsidRPr="00734BD1" w14:paraId="1A761E83"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B90145"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2012</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72A090"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7.552</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868EC1"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1.233</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1F3ECD"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991</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B943A0" w14:textId="77777777" w:rsidR="000D310F" w:rsidRPr="00734BD1" w:rsidRDefault="000D310F">
            <w:pPr>
              <w:spacing w:after="0" w:line="240" w:lineRule="auto"/>
              <w:jc w:val="right"/>
              <w:rPr>
                <w:rFonts w:ascii="Aptos" w:eastAsia="Times New Roman" w:hAnsi="Aptos" w:cs="Times New Roman"/>
                <w:color w:val="000000"/>
                <w:lang w:eastAsia="tr-TR"/>
              </w:rPr>
            </w:pPr>
            <w:r>
              <w:rPr>
                <w:rFonts w:ascii="Aptos" w:eastAsia="Times New Roman" w:hAnsi="Aptos" w:cs="Times New Roman"/>
                <w:color w:val="000000"/>
                <w:lang w:eastAsia="tr-TR"/>
              </w:rPr>
              <w:t>-</w:t>
            </w:r>
            <w:r w:rsidRPr="00734BD1">
              <w:rPr>
                <w:rFonts w:ascii="Aptos" w:eastAsia="Times New Roman" w:hAnsi="Aptos" w:cs="Times New Roman"/>
                <w:color w:val="000000"/>
                <w:lang w:eastAsia="tr-TR"/>
              </w:rPr>
              <w:t> </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63FC0F"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14.056</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C9A85C"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23.832</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F4CB440"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w:t>
            </w:r>
            <w:r w:rsidRPr="00734BD1">
              <w:rPr>
                <w:rFonts w:ascii="Aptos Narrow" w:eastAsia="Times New Roman" w:hAnsi="Aptos Narrow" w:cs="Times New Roman"/>
                <w:color w:val="000000"/>
                <w:lang w:eastAsia="tr-TR"/>
              </w:rPr>
              <w:t> </w:t>
            </w:r>
          </w:p>
        </w:tc>
        <w:tc>
          <w:tcPr>
            <w:tcW w:w="146" w:type="dxa"/>
            <w:tcBorders>
              <w:left w:val="single" w:sz="12" w:space="0" w:color="auto"/>
            </w:tcBorders>
            <w:vAlign w:val="center"/>
            <w:hideMark/>
          </w:tcPr>
          <w:p w14:paraId="6CABEB7D"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5806C82D"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7D440F"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2013</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A8BD55"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5.159</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741D1B"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1.333</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8D4343"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1.022</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75A52DB" w14:textId="77777777" w:rsidR="000D310F" w:rsidRPr="00734BD1" w:rsidRDefault="000D310F">
            <w:pPr>
              <w:spacing w:after="0" w:line="240" w:lineRule="auto"/>
              <w:jc w:val="right"/>
              <w:rPr>
                <w:rFonts w:ascii="Aptos" w:eastAsia="Times New Roman" w:hAnsi="Aptos" w:cs="Times New Roman"/>
                <w:color w:val="000000"/>
                <w:lang w:eastAsia="tr-TR"/>
              </w:rPr>
            </w:pPr>
            <w:r>
              <w:rPr>
                <w:rFonts w:ascii="Aptos" w:eastAsia="Times New Roman" w:hAnsi="Aptos" w:cs="Times New Roman"/>
                <w:color w:val="000000"/>
                <w:lang w:eastAsia="tr-TR"/>
              </w:rPr>
              <w:t>-</w:t>
            </w:r>
            <w:r w:rsidRPr="00734BD1">
              <w:rPr>
                <w:rFonts w:ascii="Aptos" w:eastAsia="Times New Roman" w:hAnsi="Aptos" w:cs="Times New Roman"/>
                <w:color w:val="000000"/>
                <w:lang w:eastAsia="tr-TR"/>
              </w:rPr>
              <w:t> </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297C97"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14.015</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9D8F50"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21.528</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88FBD9D"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3574EB">
              <w:rPr>
                <w:rFonts w:ascii="Aptos Narrow" w:hAnsi="Aptos Narrow"/>
                <w:color w:val="FF0000"/>
              </w:rPr>
              <w:t>-9,7%</w:t>
            </w:r>
          </w:p>
        </w:tc>
        <w:tc>
          <w:tcPr>
            <w:tcW w:w="146" w:type="dxa"/>
            <w:tcBorders>
              <w:left w:val="single" w:sz="12" w:space="0" w:color="auto"/>
            </w:tcBorders>
            <w:vAlign w:val="center"/>
            <w:hideMark/>
          </w:tcPr>
          <w:p w14:paraId="2D6A09CD"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01B095B2"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3A43DC"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2014</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4A1CC6"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3.143</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3EA735"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1.247</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A1567A"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998</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7F3EF7" w14:textId="77777777" w:rsidR="000D310F" w:rsidRPr="00734BD1" w:rsidRDefault="000D310F">
            <w:pPr>
              <w:spacing w:after="0" w:line="240" w:lineRule="auto"/>
              <w:jc w:val="right"/>
              <w:rPr>
                <w:rFonts w:ascii="Aptos" w:eastAsia="Times New Roman" w:hAnsi="Aptos" w:cs="Times New Roman"/>
                <w:color w:val="000000"/>
                <w:lang w:eastAsia="tr-TR"/>
              </w:rPr>
            </w:pPr>
            <w:r>
              <w:rPr>
                <w:rFonts w:ascii="Aptos" w:eastAsia="Times New Roman" w:hAnsi="Aptos" w:cs="Times New Roman"/>
                <w:color w:val="000000"/>
                <w:lang w:eastAsia="tr-TR"/>
              </w:rPr>
              <w:t>-</w:t>
            </w:r>
            <w:r w:rsidRPr="00734BD1">
              <w:rPr>
                <w:rFonts w:ascii="Aptos" w:eastAsia="Times New Roman" w:hAnsi="Aptos" w:cs="Times New Roman"/>
                <w:color w:val="000000"/>
                <w:lang w:eastAsia="tr-TR"/>
              </w:rPr>
              <w:t> </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9F86DC"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14.636</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058CCC"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20.025</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FF75703"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3574EB">
              <w:rPr>
                <w:rFonts w:ascii="Aptos Narrow" w:hAnsi="Aptos Narrow"/>
                <w:color w:val="FF0000"/>
              </w:rPr>
              <w:t>-7,0%</w:t>
            </w:r>
          </w:p>
        </w:tc>
        <w:tc>
          <w:tcPr>
            <w:tcW w:w="146" w:type="dxa"/>
            <w:tcBorders>
              <w:left w:val="single" w:sz="12" w:space="0" w:color="auto"/>
            </w:tcBorders>
            <w:vAlign w:val="center"/>
            <w:hideMark/>
          </w:tcPr>
          <w:p w14:paraId="6ED1CCF4"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10046DCD"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6B7440"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2015</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57A9FF"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10.804</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217806"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1.740</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065698"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1.107</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34EBF2" w14:textId="77777777" w:rsidR="000D310F" w:rsidRPr="00734BD1" w:rsidRDefault="000D310F">
            <w:pPr>
              <w:spacing w:after="0" w:line="240" w:lineRule="auto"/>
              <w:jc w:val="right"/>
              <w:rPr>
                <w:rFonts w:ascii="Aptos" w:eastAsia="Times New Roman" w:hAnsi="Aptos" w:cs="Times New Roman"/>
                <w:color w:val="000000"/>
                <w:lang w:eastAsia="tr-TR"/>
              </w:rPr>
            </w:pPr>
            <w:r>
              <w:rPr>
                <w:rFonts w:ascii="Aptos" w:eastAsia="Times New Roman" w:hAnsi="Aptos" w:cs="Times New Roman"/>
                <w:color w:val="000000"/>
                <w:lang w:eastAsia="tr-TR"/>
              </w:rPr>
              <w:t>-</w:t>
            </w:r>
            <w:r w:rsidRPr="00734BD1">
              <w:rPr>
                <w:rFonts w:ascii="Aptos" w:eastAsia="Times New Roman" w:hAnsi="Aptos" w:cs="Times New Roman"/>
                <w:color w:val="000000"/>
                <w:lang w:eastAsia="tr-TR"/>
              </w:rPr>
              <w:t> </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74C7DE0"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14.721</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C85E7D8"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28.372</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81C31C6"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Pr>
                <w:rFonts w:ascii="Aptos Narrow" w:hAnsi="Aptos Narrow"/>
                <w:color w:val="000000"/>
              </w:rPr>
              <w:t>41,7%</w:t>
            </w:r>
          </w:p>
        </w:tc>
        <w:tc>
          <w:tcPr>
            <w:tcW w:w="146" w:type="dxa"/>
            <w:tcBorders>
              <w:left w:val="single" w:sz="12" w:space="0" w:color="auto"/>
            </w:tcBorders>
            <w:vAlign w:val="center"/>
            <w:hideMark/>
          </w:tcPr>
          <w:p w14:paraId="0CAE266A"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41AC6A2F"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4F51B48"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2016</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24496A"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10.636</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211A15"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1.985</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F288C4"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1.128</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75D231" w14:textId="77777777" w:rsidR="000D310F" w:rsidRPr="00734BD1" w:rsidRDefault="000D310F">
            <w:pPr>
              <w:spacing w:after="0" w:line="240" w:lineRule="auto"/>
              <w:jc w:val="right"/>
              <w:rPr>
                <w:rFonts w:ascii="Aptos" w:eastAsia="Times New Roman" w:hAnsi="Aptos" w:cs="Times New Roman"/>
                <w:color w:val="000000"/>
                <w:lang w:eastAsia="tr-TR"/>
              </w:rPr>
            </w:pPr>
            <w:r>
              <w:rPr>
                <w:rFonts w:ascii="Aptos" w:eastAsia="Times New Roman" w:hAnsi="Aptos" w:cs="Times New Roman"/>
                <w:color w:val="000000"/>
                <w:lang w:eastAsia="tr-TR"/>
              </w:rPr>
              <w:t>-</w:t>
            </w:r>
            <w:r w:rsidRPr="00734BD1">
              <w:rPr>
                <w:rFonts w:ascii="Aptos" w:eastAsia="Times New Roman" w:hAnsi="Aptos" w:cs="Times New Roman"/>
                <w:color w:val="000000"/>
                <w:lang w:eastAsia="tr-TR"/>
              </w:rPr>
              <w:t> </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B0D9FE9"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14.260</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BC55A9"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28.009</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82EE7B8"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3574EB">
              <w:rPr>
                <w:rFonts w:ascii="Aptos Narrow" w:hAnsi="Aptos Narrow"/>
                <w:color w:val="FF0000"/>
              </w:rPr>
              <w:t>-1,3%</w:t>
            </w:r>
          </w:p>
        </w:tc>
        <w:tc>
          <w:tcPr>
            <w:tcW w:w="146" w:type="dxa"/>
            <w:tcBorders>
              <w:left w:val="single" w:sz="12" w:space="0" w:color="auto"/>
            </w:tcBorders>
            <w:vAlign w:val="center"/>
            <w:hideMark/>
          </w:tcPr>
          <w:p w14:paraId="6A7C67F1"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7F3E07B1"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725A8E"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2017</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08A604"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10.383</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D5DCA4"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2.206</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7E5CB7"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1.109</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B7A9ED" w14:textId="77777777" w:rsidR="000D310F" w:rsidRPr="00734BD1" w:rsidRDefault="000D310F">
            <w:pPr>
              <w:spacing w:after="0" w:line="240" w:lineRule="auto"/>
              <w:jc w:val="right"/>
              <w:rPr>
                <w:rFonts w:ascii="Aptos" w:eastAsia="Times New Roman" w:hAnsi="Aptos" w:cs="Times New Roman"/>
                <w:color w:val="000000"/>
                <w:lang w:eastAsia="tr-TR"/>
              </w:rPr>
            </w:pPr>
            <w:r>
              <w:rPr>
                <w:rFonts w:ascii="Aptos" w:eastAsia="Times New Roman" w:hAnsi="Aptos" w:cs="Times New Roman"/>
                <w:color w:val="000000"/>
                <w:lang w:eastAsia="tr-TR"/>
              </w:rPr>
              <w:t>-</w:t>
            </w:r>
            <w:r w:rsidRPr="00734BD1">
              <w:rPr>
                <w:rFonts w:ascii="Aptos" w:eastAsia="Times New Roman" w:hAnsi="Aptos" w:cs="Times New Roman"/>
                <w:color w:val="000000"/>
                <w:lang w:eastAsia="tr-TR"/>
              </w:rPr>
              <w:t> </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FED3F1"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14.192</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15C5A8"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27.890</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84C704E"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3574EB">
              <w:rPr>
                <w:rFonts w:ascii="Aptos Narrow" w:hAnsi="Aptos Narrow"/>
                <w:color w:val="FF0000"/>
              </w:rPr>
              <w:t>-0,4%</w:t>
            </w:r>
          </w:p>
        </w:tc>
        <w:tc>
          <w:tcPr>
            <w:tcW w:w="146" w:type="dxa"/>
            <w:tcBorders>
              <w:left w:val="single" w:sz="12" w:space="0" w:color="auto"/>
            </w:tcBorders>
            <w:vAlign w:val="center"/>
            <w:hideMark/>
          </w:tcPr>
          <w:p w14:paraId="577D5BF7"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17E3C4F2"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9B9FFE6"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2018</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9AD1ED"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7.561</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7453DB"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1.757</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C1BB78"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1.149</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41CC4C" w14:textId="77777777" w:rsidR="000D310F" w:rsidRPr="00734BD1" w:rsidRDefault="000D310F">
            <w:pPr>
              <w:spacing w:after="0" w:line="240" w:lineRule="auto"/>
              <w:jc w:val="right"/>
              <w:rPr>
                <w:rFonts w:ascii="Aptos" w:eastAsia="Times New Roman" w:hAnsi="Aptos" w:cs="Times New Roman"/>
                <w:color w:val="000000"/>
                <w:lang w:eastAsia="tr-TR"/>
              </w:rPr>
            </w:pPr>
            <w:r>
              <w:rPr>
                <w:rFonts w:ascii="Aptos" w:eastAsia="Times New Roman" w:hAnsi="Aptos" w:cs="Times New Roman"/>
                <w:color w:val="000000"/>
                <w:lang w:eastAsia="tr-TR"/>
              </w:rPr>
              <w:t>-</w:t>
            </w:r>
            <w:r w:rsidRPr="00734BD1">
              <w:rPr>
                <w:rFonts w:ascii="Aptos" w:eastAsia="Times New Roman" w:hAnsi="Aptos" w:cs="Times New Roman"/>
                <w:color w:val="000000"/>
                <w:lang w:eastAsia="tr-TR"/>
              </w:rPr>
              <w:t> </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477A6B"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14.360</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30298C"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24.828</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3B6AF10"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3574EB">
              <w:rPr>
                <w:rFonts w:ascii="Aptos Narrow" w:hAnsi="Aptos Narrow"/>
                <w:color w:val="FF0000"/>
              </w:rPr>
              <w:t>-11,0%</w:t>
            </w:r>
          </w:p>
        </w:tc>
        <w:tc>
          <w:tcPr>
            <w:tcW w:w="146" w:type="dxa"/>
            <w:tcBorders>
              <w:left w:val="single" w:sz="12" w:space="0" w:color="auto"/>
            </w:tcBorders>
            <w:vAlign w:val="center"/>
            <w:hideMark/>
          </w:tcPr>
          <w:p w14:paraId="6266AC10"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1D31E419"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807374E" w14:textId="77777777" w:rsidR="000D310F" w:rsidRPr="00734BD1" w:rsidRDefault="000D310F">
            <w:pPr>
              <w:spacing w:after="0" w:line="240" w:lineRule="auto"/>
              <w:jc w:val="center"/>
              <w:rPr>
                <w:rFonts w:ascii="Aptos" w:eastAsia="Times New Roman" w:hAnsi="Aptos" w:cs="Times New Roman"/>
                <w:color w:val="000000"/>
                <w:lang w:eastAsia="tr-TR"/>
              </w:rPr>
            </w:pPr>
            <w:r>
              <w:rPr>
                <w:rFonts w:ascii="Aptos" w:eastAsia="Times New Roman" w:hAnsi="Aptos" w:cs="Times New Roman"/>
                <w:color w:val="000000"/>
                <w:lang w:eastAsia="tr-TR"/>
              </w:rPr>
              <w:t>2019</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7E1786F"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10.897</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FD63701"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1.962</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80904CA"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1.209</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D09BB02" w14:textId="77777777" w:rsidR="000D310F" w:rsidRPr="00734BD1" w:rsidRDefault="000D310F">
            <w:pPr>
              <w:spacing w:after="0" w:line="240" w:lineRule="auto"/>
              <w:jc w:val="right"/>
              <w:rPr>
                <w:rFonts w:ascii="Aptos" w:eastAsia="Times New Roman" w:hAnsi="Aptos" w:cs="Times New Roman"/>
                <w:color w:val="000000"/>
                <w:lang w:eastAsia="tr-TR"/>
              </w:rPr>
            </w:pPr>
            <w:r>
              <w:rPr>
                <w:rFonts w:ascii="Aptos" w:eastAsia="Times New Roman" w:hAnsi="Aptos" w:cs="Times New Roman"/>
                <w:color w:val="000000"/>
                <w:lang w:eastAsia="tr-TR"/>
              </w:rPr>
              <w:t>-</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9581EB5"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13.208</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9EDD93"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27.276</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DA6FF62" w14:textId="77777777" w:rsidR="000D310F" w:rsidRPr="003574EB" w:rsidRDefault="000D310F">
            <w:pPr>
              <w:spacing w:after="0" w:line="240" w:lineRule="auto"/>
              <w:jc w:val="right"/>
              <w:rPr>
                <w:rFonts w:ascii="Aptos Narrow" w:hAnsi="Aptos Narrow"/>
                <w:color w:val="FF0000"/>
              </w:rPr>
            </w:pPr>
            <w:r>
              <w:rPr>
                <w:rFonts w:ascii="Aptos Narrow" w:hAnsi="Aptos Narrow"/>
                <w:color w:val="000000"/>
              </w:rPr>
              <w:t>9,9%</w:t>
            </w:r>
          </w:p>
        </w:tc>
        <w:tc>
          <w:tcPr>
            <w:tcW w:w="146" w:type="dxa"/>
            <w:tcBorders>
              <w:left w:val="single" w:sz="12" w:space="0" w:color="auto"/>
            </w:tcBorders>
            <w:vAlign w:val="center"/>
          </w:tcPr>
          <w:p w14:paraId="6AA0282B"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0BAF87CE"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084AD5"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2020</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2B8640"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10.772</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CA19EC"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1.805</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512FF3"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1.369</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A96679"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 </w:t>
            </w:r>
            <w:r>
              <w:rPr>
                <w:rFonts w:ascii="Aptos" w:eastAsia="Times New Roman" w:hAnsi="Aptos" w:cs="Times New Roman"/>
                <w:color w:val="000000"/>
                <w:lang w:eastAsia="tr-TR"/>
              </w:rPr>
              <w:t>-</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CD3110"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11.682</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DFE517"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25.627</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36478A0"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3574EB">
              <w:rPr>
                <w:rFonts w:ascii="Aptos Narrow" w:hAnsi="Aptos Narrow"/>
                <w:color w:val="FF0000"/>
              </w:rPr>
              <w:t>-6,0%</w:t>
            </w:r>
          </w:p>
        </w:tc>
        <w:tc>
          <w:tcPr>
            <w:tcW w:w="146" w:type="dxa"/>
            <w:tcBorders>
              <w:left w:val="single" w:sz="12" w:space="0" w:color="auto"/>
            </w:tcBorders>
            <w:vAlign w:val="center"/>
            <w:hideMark/>
          </w:tcPr>
          <w:p w14:paraId="007460BB"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35A920F7"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F9A135"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2021</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AA5C82"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10.492</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8ABDF1D"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1.722</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49B26FE"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1.360</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338E61"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 </w:t>
            </w:r>
            <w:r>
              <w:rPr>
                <w:rFonts w:ascii="Aptos" w:eastAsia="Times New Roman" w:hAnsi="Aptos" w:cs="Times New Roman"/>
                <w:color w:val="000000"/>
                <w:lang w:eastAsia="tr-TR"/>
              </w:rPr>
              <w:t>-</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E9EA3F"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11.238</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CC1F8C"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24.811</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8E2FB3A"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3574EB">
              <w:rPr>
                <w:rFonts w:ascii="Aptos Narrow" w:hAnsi="Aptos Narrow"/>
                <w:color w:val="FF0000"/>
              </w:rPr>
              <w:t>-3,2%</w:t>
            </w:r>
          </w:p>
        </w:tc>
        <w:tc>
          <w:tcPr>
            <w:tcW w:w="146" w:type="dxa"/>
            <w:tcBorders>
              <w:left w:val="single" w:sz="12" w:space="0" w:color="auto"/>
            </w:tcBorders>
            <w:vAlign w:val="center"/>
            <w:hideMark/>
          </w:tcPr>
          <w:p w14:paraId="46CCB0D8"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14F8BA13"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627D0C"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2022</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63FC9E"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9.776</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3DF0946"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1.781</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738E09"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1.402</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1CAD50"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 </w:t>
            </w:r>
            <w:r>
              <w:rPr>
                <w:rFonts w:ascii="Aptos" w:eastAsia="Times New Roman" w:hAnsi="Aptos" w:cs="Times New Roman"/>
                <w:color w:val="000000"/>
                <w:lang w:eastAsia="tr-TR"/>
              </w:rPr>
              <w:t>-</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3198D3"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12.658</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C0AA6E"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25.617</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856E4ED"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Pr>
                <w:rFonts w:ascii="Aptos Narrow" w:hAnsi="Aptos Narrow"/>
                <w:color w:val="000000"/>
              </w:rPr>
              <w:t>3,2%</w:t>
            </w:r>
          </w:p>
        </w:tc>
        <w:tc>
          <w:tcPr>
            <w:tcW w:w="146" w:type="dxa"/>
            <w:tcBorders>
              <w:left w:val="single" w:sz="12" w:space="0" w:color="auto"/>
            </w:tcBorders>
            <w:vAlign w:val="center"/>
            <w:hideMark/>
          </w:tcPr>
          <w:p w14:paraId="28991CF5"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6FC3A9F1"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0720ED"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2023</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86FC84"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2.168</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921451"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1.414</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224264"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1.601</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59BD70"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1.228</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C533A0"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12.847</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F5A54F7"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19.258</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7A91C0"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3574EB">
              <w:rPr>
                <w:rFonts w:ascii="Aptos Narrow" w:hAnsi="Aptos Narrow"/>
                <w:color w:val="FF0000"/>
              </w:rPr>
              <w:t>-24,8%</w:t>
            </w:r>
          </w:p>
        </w:tc>
        <w:tc>
          <w:tcPr>
            <w:tcW w:w="146" w:type="dxa"/>
            <w:tcBorders>
              <w:left w:val="single" w:sz="12" w:space="0" w:color="auto"/>
            </w:tcBorders>
            <w:vAlign w:val="center"/>
            <w:hideMark/>
          </w:tcPr>
          <w:p w14:paraId="44363CB4"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1A1838B7"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5B799D" w14:textId="77777777" w:rsidR="000D310F" w:rsidRPr="00734BD1" w:rsidRDefault="000D310F">
            <w:pPr>
              <w:spacing w:after="0" w:line="240" w:lineRule="auto"/>
              <w:jc w:val="center"/>
              <w:rPr>
                <w:rFonts w:ascii="Aptos" w:eastAsia="Times New Roman" w:hAnsi="Aptos" w:cs="Times New Roman"/>
                <w:color w:val="000000"/>
                <w:lang w:eastAsia="tr-TR"/>
              </w:rPr>
            </w:pPr>
            <w:r w:rsidRPr="00734BD1">
              <w:rPr>
                <w:rFonts w:ascii="Aptos" w:eastAsia="Times New Roman" w:hAnsi="Aptos" w:cs="Times New Roman"/>
                <w:color w:val="000000"/>
                <w:lang w:eastAsia="tr-TR"/>
              </w:rPr>
              <w:t>2024*</w:t>
            </w:r>
          </w:p>
        </w:tc>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5547A4"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2</w:t>
            </w:r>
          </w:p>
        </w:tc>
        <w:tc>
          <w:tcPr>
            <w:tcW w:w="12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AA1C9F"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1.894</w:t>
            </w:r>
          </w:p>
        </w:tc>
        <w:tc>
          <w:tcPr>
            <w:tcW w:w="11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18C286"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1.948</w:t>
            </w:r>
          </w:p>
        </w:tc>
        <w:tc>
          <w:tcPr>
            <w:tcW w:w="14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EB6274"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1.884</w:t>
            </w:r>
          </w:p>
        </w:tc>
        <w:tc>
          <w:tcPr>
            <w:tcW w:w="13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2CB278" w14:textId="77777777" w:rsidR="000D310F" w:rsidRPr="00734BD1" w:rsidRDefault="000D310F">
            <w:pPr>
              <w:spacing w:after="0" w:line="240" w:lineRule="auto"/>
              <w:jc w:val="right"/>
              <w:rPr>
                <w:rFonts w:ascii="Aptos" w:eastAsia="Times New Roman" w:hAnsi="Aptos" w:cs="Times New Roman"/>
                <w:color w:val="000000"/>
                <w:lang w:eastAsia="tr-TR"/>
              </w:rPr>
            </w:pPr>
            <w:r w:rsidRPr="00734BD1">
              <w:rPr>
                <w:rFonts w:ascii="Aptos" w:eastAsia="Times New Roman" w:hAnsi="Aptos" w:cs="Times New Roman"/>
                <w:color w:val="000000"/>
                <w:lang w:eastAsia="tr-TR"/>
              </w:rPr>
              <w:t>12.585</w:t>
            </w:r>
          </w:p>
        </w:tc>
        <w:tc>
          <w:tcPr>
            <w:tcW w:w="10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C74D28"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18.313</w:t>
            </w:r>
          </w:p>
        </w:tc>
        <w:tc>
          <w:tcPr>
            <w:tcW w:w="95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DE7CDC6"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3574EB">
              <w:rPr>
                <w:rFonts w:ascii="Aptos Narrow" w:hAnsi="Aptos Narrow"/>
                <w:color w:val="FF0000"/>
              </w:rPr>
              <w:t>-4,9%</w:t>
            </w:r>
          </w:p>
        </w:tc>
        <w:tc>
          <w:tcPr>
            <w:tcW w:w="146" w:type="dxa"/>
            <w:tcBorders>
              <w:left w:val="single" w:sz="12" w:space="0" w:color="auto"/>
            </w:tcBorders>
            <w:vAlign w:val="center"/>
            <w:hideMark/>
          </w:tcPr>
          <w:p w14:paraId="20CE0165"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r w:rsidR="000D310F" w:rsidRPr="00734BD1" w14:paraId="7FCE2320" w14:textId="77777777" w:rsidTr="00B97965">
        <w:trPr>
          <w:trHeight w:val="275"/>
        </w:trPr>
        <w:tc>
          <w:tcPr>
            <w:tcW w:w="975"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2E4480B9" w14:textId="77777777" w:rsidR="000D310F" w:rsidRPr="00734BD1" w:rsidRDefault="000D310F">
            <w:pPr>
              <w:spacing w:after="0" w:line="240" w:lineRule="auto"/>
              <w:rPr>
                <w:rFonts w:ascii="Aptos Narrow" w:eastAsia="Times New Roman" w:hAnsi="Aptos Narrow" w:cs="Times New Roman"/>
                <w:b/>
                <w:bCs/>
                <w:color w:val="000000"/>
                <w:lang w:eastAsia="tr-TR"/>
              </w:rPr>
            </w:pPr>
            <w:r w:rsidRPr="00734BD1">
              <w:rPr>
                <w:rFonts w:ascii="Aptos Narrow" w:eastAsia="Times New Roman" w:hAnsi="Aptos Narrow" w:cs="Times New Roman"/>
                <w:b/>
                <w:bCs/>
                <w:color w:val="000000"/>
                <w:lang w:eastAsia="tr-TR"/>
              </w:rPr>
              <w:t>TOPLAM</w:t>
            </w:r>
          </w:p>
        </w:tc>
        <w:tc>
          <w:tcPr>
            <w:tcW w:w="1240"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150B148C"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99.344</w:t>
            </w:r>
          </w:p>
        </w:tc>
        <w:tc>
          <w:tcPr>
            <w:tcW w:w="1243"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65200271"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22.078</w:t>
            </w:r>
          </w:p>
        </w:tc>
        <w:tc>
          <w:tcPr>
            <w:tcW w:w="1120"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180AA31D"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16.395</w:t>
            </w:r>
          </w:p>
        </w:tc>
        <w:tc>
          <w:tcPr>
            <w:tcW w:w="1412"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6B203EE3"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3.113</w:t>
            </w:r>
          </w:p>
        </w:tc>
        <w:tc>
          <w:tcPr>
            <w:tcW w:w="1375"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4F1982E0"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174.456</w:t>
            </w:r>
          </w:p>
        </w:tc>
        <w:tc>
          <w:tcPr>
            <w:tcW w:w="1020"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center"/>
            <w:hideMark/>
          </w:tcPr>
          <w:p w14:paraId="20BEA152" w14:textId="77777777" w:rsidR="000D310F" w:rsidRPr="00734BD1" w:rsidRDefault="000D310F">
            <w:pPr>
              <w:spacing w:after="0" w:line="240" w:lineRule="auto"/>
              <w:jc w:val="right"/>
              <w:rPr>
                <w:rFonts w:ascii="Aptos" w:eastAsia="Times New Roman" w:hAnsi="Aptos" w:cs="Times New Roman"/>
                <w:b/>
                <w:bCs/>
                <w:color w:val="000000"/>
                <w:lang w:eastAsia="tr-TR"/>
              </w:rPr>
            </w:pPr>
            <w:r w:rsidRPr="00734BD1">
              <w:rPr>
                <w:rFonts w:ascii="Aptos" w:eastAsia="Times New Roman" w:hAnsi="Aptos" w:cs="Times New Roman"/>
                <w:b/>
                <w:bCs/>
                <w:color w:val="000000"/>
                <w:lang w:eastAsia="tr-TR"/>
              </w:rPr>
              <w:t>315.385</w:t>
            </w:r>
          </w:p>
        </w:tc>
        <w:tc>
          <w:tcPr>
            <w:tcW w:w="957" w:type="dxa"/>
            <w:tcBorders>
              <w:top w:val="single" w:sz="12" w:space="0" w:color="auto"/>
              <w:left w:val="single" w:sz="12" w:space="0" w:color="auto"/>
              <w:bottom w:val="single" w:sz="12" w:space="0" w:color="auto"/>
              <w:right w:val="single" w:sz="12" w:space="0" w:color="auto"/>
            </w:tcBorders>
            <w:shd w:val="clear" w:color="auto" w:fill="FAE2D5" w:themeFill="accent2" w:themeFillTint="33"/>
            <w:noWrap/>
            <w:vAlign w:val="bottom"/>
            <w:hideMark/>
          </w:tcPr>
          <w:p w14:paraId="4C3F8760" w14:textId="77777777" w:rsidR="000D310F" w:rsidRPr="00734BD1" w:rsidRDefault="000D310F">
            <w:pPr>
              <w:spacing w:after="0" w:line="240" w:lineRule="auto"/>
              <w:jc w:val="right"/>
              <w:rPr>
                <w:rFonts w:ascii="Aptos Narrow" w:eastAsia="Times New Roman" w:hAnsi="Aptos Narrow" w:cs="Times New Roman"/>
                <w:color w:val="000000"/>
                <w:lang w:eastAsia="tr-TR"/>
              </w:rPr>
            </w:pPr>
            <w:r w:rsidRPr="00734BD1">
              <w:rPr>
                <w:rFonts w:ascii="Aptos Narrow" w:eastAsia="Times New Roman" w:hAnsi="Aptos Narrow" w:cs="Times New Roman"/>
                <w:color w:val="000000"/>
                <w:lang w:eastAsia="tr-TR"/>
              </w:rPr>
              <w:t> </w:t>
            </w:r>
          </w:p>
        </w:tc>
        <w:tc>
          <w:tcPr>
            <w:tcW w:w="146" w:type="dxa"/>
            <w:tcBorders>
              <w:left w:val="single" w:sz="12" w:space="0" w:color="auto"/>
            </w:tcBorders>
            <w:vAlign w:val="center"/>
            <w:hideMark/>
          </w:tcPr>
          <w:p w14:paraId="3C395DBE" w14:textId="77777777" w:rsidR="000D310F" w:rsidRPr="00734BD1" w:rsidRDefault="000D310F">
            <w:pPr>
              <w:spacing w:after="0" w:line="240" w:lineRule="auto"/>
              <w:rPr>
                <w:rFonts w:ascii="Times New Roman" w:eastAsia="Times New Roman" w:hAnsi="Times New Roman" w:cs="Times New Roman"/>
                <w:sz w:val="20"/>
                <w:szCs w:val="20"/>
                <w:lang w:eastAsia="tr-TR"/>
              </w:rPr>
            </w:pPr>
          </w:p>
        </w:tc>
      </w:tr>
    </w:tbl>
    <w:p w14:paraId="2226926A" w14:textId="102284A7" w:rsidR="000D310F" w:rsidRPr="00D76FE5" w:rsidRDefault="000D310F" w:rsidP="000D310F">
      <w:pPr>
        <w:pStyle w:val="ListeParagraf"/>
        <w:tabs>
          <w:tab w:val="left" w:pos="284"/>
        </w:tabs>
        <w:ind w:left="0"/>
        <w:jc w:val="both"/>
        <w:rPr>
          <w:rFonts w:ascii="Calibri" w:eastAsia="Times New Roman" w:hAnsi="Calibri" w:cs="Calibri"/>
          <w:i/>
          <w:iCs/>
          <w:color w:val="000000"/>
          <w:sz w:val="20"/>
          <w:szCs w:val="20"/>
          <w:lang w:eastAsia="tr-TR"/>
        </w:rPr>
      </w:pPr>
      <w:r w:rsidRPr="00D76FE5">
        <w:rPr>
          <w:rFonts w:ascii="Calibri" w:eastAsia="Times New Roman" w:hAnsi="Calibri" w:cs="Calibri"/>
          <w:i/>
          <w:iCs/>
          <w:color w:val="000000"/>
          <w:sz w:val="20"/>
          <w:szCs w:val="20"/>
          <w:lang w:eastAsia="tr-TR"/>
        </w:rPr>
        <w:t xml:space="preserve">* </w:t>
      </w:r>
      <w:r w:rsidR="00516242">
        <w:rPr>
          <w:rFonts w:ascii="Calibri" w:eastAsia="Times New Roman" w:hAnsi="Calibri" w:cs="Calibri"/>
          <w:i/>
          <w:iCs/>
          <w:color w:val="000000"/>
          <w:sz w:val="20"/>
          <w:szCs w:val="20"/>
          <w:lang w:eastAsia="tr-TR"/>
        </w:rPr>
        <w:t xml:space="preserve">Tonajlar </w:t>
      </w:r>
      <w:r w:rsidRPr="00D76FE5">
        <w:rPr>
          <w:rFonts w:ascii="Calibri" w:eastAsia="Times New Roman" w:hAnsi="Calibri" w:cs="Calibri"/>
          <w:i/>
          <w:iCs/>
          <w:color w:val="000000"/>
          <w:sz w:val="20"/>
          <w:szCs w:val="20"/>
          <w:lang w:eastAsia="tr-TR"/>
        </w:rPr>
        <w:t xml:space="preserve">2024 yılı </w:t>
      </w:r>
      <w:r w:rsidR="00516242">
        <w:rPr>
          <w:rFonts w:ascii="Calibri" w:eastAsia="Times New Roman" w:hAnsi="Calibri" w:cs="Calibri"/>
          <w:i/>
          <w:iCs/>
          <w:color w:val="000000"/>
          <w:sz w:val="20"/>
          <w:szCs w:val="20"/>
          <w:lang w:eastAsia="tr-TR"/>
        </w:rPr>
        <w:t xml:space="preserve">için </w:t>
      </w:r>
      <w:r w:rsidRPr="00D76FE5">
        <w:rPr>
          <w:rFonts w:ascii="Calibri" w:eastAsia="Times New Roman" w:hAnsi="Calibri" w:cs="Calibri"/>
          <w:i/>
          <w:iCs/>
          <w:color w:val="000000"/>
          <w:sz w:val="20"/>
          <w:szCs w:val="20"/>
          <w:lang w:eastAsia="tr-TR"/>
        </w:rPr>
        <w:t>Ocak-Aralık olarak 11 aylıktır.</w:t>
      </w:r>
    </w:p>
    <w:p w14:paraId="3F7C6F06" w14:textId="447D6F9A" w:rsidR="005C6A8A" w:rsidRPr="006C3668" w:rsidRDefault="00944EA3" w:rsidP="006C3668">
      <w:pPr>
        <w:jc w:val="both"/>
        <w:rPr>
          <w:rFonts w:cstheme="minorHAnsi"/>
          <w:sz w:val="24"/>
          <w:szCs w:val="24"/>
        </w:rPr>
      </w:pPr>
      <w:r>
        <w:rPr>
          <w:rFonts w:cstheme="minorHAnsi"/>
          <w:sz w:val="24"/>
          <w:szCs w:val="24"/>
        </w:rPr>
        <w:t xml:space="preserve">Tablo-2’ye ve Garfik-1’e bakıldığında genel olarak liman istatistiklerinde yer almayan </w:t>
      </w:r>
      <w:r w:rsidRPr="00194C07">
        <w:rPr>
          <w:rFonts w:cstheme="minorHAnsi"/>
          <w:sz w:val="24"/>
          <w:szCs w:val="24"/>
        </w:rPr>
        <w:t xml:space="preserve">Ceyhan-Kırıkkale (BOTAŞ Ceyhan), Batman-Dörtyol (BOTAŞ Dörtyol) ve Dörtyol-Ceyhan (BOTAŞ CEYHAN) boru hatlarının </w:t>
      </w:r>
      <w:r>
        <w:rPr>
          <w:rFonts w:cstheme="minorHAnsi"/>
          <w:sz w:val="24"/>
          <w:szCs w:val="24"/>
        </w:rPr>
        <w:t xml:space="preserve">belli bir tonaj miktarıyla düzenli olarak faaliyet gösterdiği, liman istatistiklerine konu (gemilere yüklenen transit hampetrol miktarları) boru hattı terminallerinde ise Bakü-Tiflis-Ceyhan (BTC) terminalinin daha istikrarlı çalıştığı, fakat Türkiye-Irak ilişkilerinin </w:t>
      </w:r>
      <w:r>
        <w:rPr>
          <w:rFonts w:cstheme="minorHAnsi"/>
          <w:sz w:val="24"/>
          <w:szCs w:val="24"/>
        </w:rPr>
        <w:lastRenderedPageBreak/>
        <w:t xml:space="preserve">seyri ve bölgedeki çatışma ve istikrarsızlığa bağlı olarak Kerkük-Yumurtalık (BOTAŞ Ceyhan) terminalinin ise yıllara göre verimsiz çalıştığı görülmektedir. </w:t>
      </w:r>
    </w:p>
    <w:p w14:paraId="571DBEAE" w14:textId="27493B80" w:rsidR="00944EA3" w:rsidRPr="00B97965" w:rsidRDefault="00944EA3" w:rsidP="00944EA3">
      <w:pPr>
        <w:pStyle w:val="ListeParagraf"/>
        <w:tabs>
          <w:tab w:val="left" w:pos="284"/>
        </w:tabs>
        <w:ind w:left="0"/>
        <w:jc w:val="center"/>
        <w:rPr>
          <w:rFonts w:cstheme="minorHAnsi"/>
          <w:sz w:val="22"/>
          <w:szCs w:val="22"/>
        </w:rPr>
      </w:pPr>
      <w:r w:rsidRPr="00B97965">
        <w:rPr>
          <w:rFonts w:cstheme="minorHAnsi"/>
          <w:b/>
          <w:bCs/>
          <w:sz w:val="22"/>
          <w:szCs w:val="22"/>
          <w:u w:val="single"/>
        </w:rPr>
        <w:t>Grafik-1:</w:t>
      </w:r>
      <w:r w:rsidRPr="00B97965">
        <w:rPr>
          <w:rFonts w:cstheme="minorHAnsi"/>
          <w:sz w:val="22"/>
          <w:szCs w:val="22"/>
        </w:rPr>
        <w:t xml:space="preserve"> </w:t>
      </w:r>
      <w:r w:rsidRPr="00B97965">
        <w:rPr>
          <w:rFonts w:cstheme="minorHAnsi"/>
          <w:b/>
          <w:bCs/>
          <w:sz w:val="22"/>
          <w:szCs w:val="22"/>
        </w:rPr>
        <w:t>BOTAŞ-BTC Hampetrol Terminalleri Tonajları (Milyon Ton) (2012-2024*)</w:t>
      </w:r>
    </w:p>
    <w:p w14:paraId="2B2906C2" w14:textId="77777777" w:rsidR="00944EA3" w:rsidRPr="003D45E4" w:rsidRDefault="00944EA3" w:rsidP="00944EA3">
      <w:pPr>
        <w:pStyle w:val="ListeParagraf"/>
        <w:tabs>
          <w:tab w:val="left" w:pos="284"/>
        </w:tabs>
        <w:ind w:left="0"/>
        <w:jc w:val="center"/>
        <w:rPr>
          <w:rFonts w:cstheme="minorHAnsi"/>
        </w:rPr>
      </w:pPr>
    </w:p>
    <w:p w14:paraId="5FF514D8" w14:textId="77777777" w:rsidR="00944EA3" w:rsidRDefault="00944EA3" w:rsidP="00944EA3">
      <w:pPr>
        <w:pStyle w:val="ListeParagraf"/>
        <w:tabs>
          <w:tab w:val="left" w:pos="284"/>
        </w:tabs>
        <w:ind w:left="0"/>
        <w:jc w:val="both"/>
        <w:rPr>
          <w:rFonts w:ascii="Calibri" w:eastAsia="Times New Roman" w:hAnsi="Calibri" w:cs="Calibri"/>
          <w:b/>
          <w:bCs/>
          <w:color w:val="000000"/>
          <w:lang w:eastAsia="tr-TR"/>
        </w:rPr>
      </w:pPr>
      <w:r>
        <w:rPr>
          <w:noProof/>
        </w:rPr>
        <w:drawing>
          <wp:inline distT="0" distB="0" distL="0" distR="0" wp14:anchorId="582D908A" wp14:editId="670ED173">
            <wp:extent cx="6096000" cy="3442970"/>
            <wp:effectExtent l="0" t="0" r="0" b="5080"/>
            <wp:docPr id="164043737" name="Grafik 1">
              <a:extLst xmlns:a="http://schemas.openxmlformats.org/drawingml/2006/main">
                <a:ext uri="{FF2B5EF4-FFF2-40B4-BE49-F238E27FC236}">
                  <a16:creationId xmlns:a16="http://schemas.microsoft.com/office/drawing/2014/main" id="{881ED67D-D2D3-F151-48EB-317405FE37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E274261" w14:textId="707E95B7" w:rsidR="00175285" w:rsidRDefault="00294499" w:rsidP="00320408">
      <w:pPr>
        <w:jc w:val="both"/>
        <w:rPr>
          <w:rFonts w:cstheme="minorHAnsi"/>
          <w:sz w:val="24"/>
          <w:szCs w:val="24"/>
        </w:rPr>
      </w:pPr>
      <w:r>
        <w:rPr>
          <w:rFonts w:cstheme="minorHAnsi"/>
          <w:sz w:val="24"/>
          <w:szCs w:val="24"/>
        </w:rPr>
        <w:t xml:space="preserve">Tablo-3’te </w:t>
      </w:r>
      <w:r w:rsidR="00944EA3">
        <w:rPr>
          <w:rFonts w:cstheme="minorHAnsi"/>
          <w:sz w:val="24"/>
          <w:szCs w:val="24"/>
        </w:rPr>
        <w:t xml:space="preserve">ise yukarıda yer alan </w:t>
      </w:r>
      <w:r>
        <w:rPr>
          <w:rFonts w:cstheme="minorHAnsi"/>
          <w:sz w:val="24"/>
          <w:szCs w:val="24"/>
        </w:rPr>
        <w:t xml:space="preserve">boru hattı terminallerinden Türkiye’de </w:t>
      </w:r>
      <w:r w:rsidR="00944EA3">
        <w:rPr>
          <w:rFonts w:cstheme="minorHAnsi"/>
          <w:sz w:val="24"/>
          <w:szCs w:val="24"/>
        </w:rPr>
        <w:t xml:space="preserve">her ay yayınlanan </w:t>
      </w:r>
      <w:r>
        <w:rPr>
          <w:rFonts w:cstheme="minorHAnsi"/>
          <w:sz w:val="24"/>
          <w:szCs w:val="24"/>
        </w:rPr>
        <w:t xml:space="preserve">Toplam Yük </w:t>
      </w:r>
      <w:r w:rsidR="00944EA3">
        <w:rPr>
          <w:rFonts w:cstheme="minorHAnsi"/>
          <w:sz w:val="24"/>
          <w:szCs w:val="24"/>
        </w:rPr>
        <w:t xml:space="preserve">verileri </w:t>
      </w:r>
      <w:r>
        <w:rPr>
          <w:rFonts w:cstheme="minorHAnsi"/>
          <w:sz w:val="24"/>
          <w:szCs w:val="24"/>
        </w:rPr>
        <w:t>içinde</w:t>
      </w:r>
      <w:r w:rsidR="00944EA3">
        <w:rPr>
          <w:rFonts w:cstheme="minorHAnsi"/>
          <w:sz w:val="24"/>
          <w:szCs w:val="24"/>
        </w:rPr>
        <w:t xml:space="preserve"> bulunan “</w:t>
      </w:r>
      <w:r>
        <w:rPr>
          <w:rFonts w:cstheme="minorHAnsi"/>
          <w:sz w:val="24"/>
          <w:szCs w:val="24"/>
        </w:rPr>
        <w:t>Dökme Sıvı Yük</w:t>
      </w:r>
      <w:r w:rsidR="00944EA3">
        <w:rPr>
          <w:rFonts w:cstheme="minorHAnsi"/>
          <w:sz w:val="24"/>
          <w:szCs w:val="24"/>
        </w:rPr>
        <w:t>”</w:t>
      </w:r>
      <w:r>
        <w:rPr>
          <w:rFonts w:cstheme="minorHAnsi"/>
          <w:sz w:val="24"/>
          <w:szCs w:val="24"/>
        </w:rPr>
        <w:t xml:space="preserve"> kategorisine giren</w:t>
      </w:r>
      <w:r w:rsidR="00944EA3">
        <w:rPr>
          <w:rFonts w:cstheme="minorHAnsi"/>
          <w:sz w:val="24"/>
          <w:szCs w:val="24"/>
        </w:rPr>
        <w:t xml:space="preserve"> hampetrol miktarları gösterilmektedir. </w:t>
      </w:r>
      <w:r w:rsidR="005C6A8A">
        <w:rPr>
          <w:rFonts w:cstheme="minorHAnsi"/>
          <w:sz w:val="24"/>
          <w:szCs w:val="24"/>
        </w:rPr>
        <w:t xml:space="preserve">Bu verilere </w:t>
      </w:r>
      <w:r w:rsidR="005C6A8A" w:rsidRPr="005C6A8A">
        <w:rPr>
          <w:rFonts w:cstheme="minorHAnsi"/>
          <w:sz w:val="24"/>
          <w:szCs w:val="24"/>
        </w:rPr>
        <w:t xml:space="preserve">baktığımızda her ne kadar </w:t>
      </w:r>
      <w:r w:rsidR="005C6A8A" w:rsidRPr="00880442">
        <w:rPr>
          <w:rFonts w:cstheme="minorHAnsi"/>
          <w:sz w:val="24"/>
          <w:szCs w:val="24"/>
        </w:rPr>
        <w:t>Bakü-Tiflis-Ceyhan (BTC)</w:t>
      </w:r>
      <w:r w:rsidR="005C6A8A" w:rsidRPr="003B1ECD">
        <w:rPr>
          <w:rFonts w:cstheme="minorHAnsi"/>
          <w:sz w:val="24"/>
          <w:szCs w:val="24"/>
        </w:rPr>
        <w:t xml:space="preserve"> </w:t>
      </w:r>
      <w:r w:rsidR="003B1ECD" w:rsidRPr="003B1ECD">
        <w:rPr>
          <w:rFonts w:cstheme="minorHAnsi"/>
          <w:sz w:val="24"/>
          <w:szCs w:val="24"/>
        </w:rPr>
        <w:t xml:space="preserve">2012-2019 yılları arasında istikrarlı faaliyet gösterirken 2020’den sonra miktarla azalmıştır. </w:t>
      </w:r>
      <w:r w:rsidR="00175285">
        <w:rPr>
          <w:rFonts w:cstheme="minorHAnsi"/>
          <w:sz w:val="24"/>
          <w:szCs w:val="24"/>
        </w:rPr>
        <w:t xml:space="preserve">BTC terminalinde </w:t>
      </w:r>
      <w:r w:rsidR="00034BE6">
        <w:rPr>
          <w:rFonts w:cstheme="minorHAnsi"/>
          <w:sz w:val="24"/>
          <w:szCs w:val="24"/>
        </w:rPr>
        <w:t>2016, 2019, 2020</w:t>
      </w:r>
      <w:r w:rsidR="00E9214B">
        <w:rPr>
          <w:rFonts w:cstheme="minorHAnsi"/>
          <w:sz w:val="24"/>
          <w:szCs w:val="24"/>
        </w:rPr>
        <w:t xml:space="preserve"> (%12 oranında)</w:t>
      </w:r>
      <w:r w:rsidR="00034BE6">
        <w:rPr>
          <w:rFonts w:cstheme="minorHAnsi"/>
          <w:sz w:val="24"/>
          <w:szCs w:val="24"/>
        </w:rPr>
        <w:t>, 2021 ve e</w:t>
      </w:r>
      <w:r w:rsidR="00E9214B">
        <w:rPr>
          <w:rFonts w:cstheme="minorHAnsi"/>
          <w:sz w:val="24"/>
          <w:szCs w:val="24"/>
        </w:rPr>
        <w:t>n</w:t>
      </w:r>
      <w:r w:rsidR="00034BE6">
        <w:rPr>
          <w:rFonts w:cstheme="minorHAnsi"/>
          <w:sz w:val="24"/>
          <w:szCs w:val="24"/>
        </w:rPr>
        <w:t xml:space="preserve"> son 2024 yılında </w:t>
      </w:r>
      <w:r w:rsidR="00E9214B">
        <w:rPr>
          <w:rFonts w:cstheme="minorHAnsi"/>
          <w:sz w:val="24"/>
          <w:szCs w:val="24"/>
        </w:rPr>
        <w:t xml:space="preserve">düşüş yaşanmıştır. 2020 ve 2019 yılı hariç düşüş oranları çok büyük değildir. Türkiye’de </w:t>
      </w:r>
      <w:r w:rsidR="00266DC1">
        <w:rPr>
          <w:rFonts w:cstheme="minorHAnsi"/>
          <w:sz w:val="24"/>
          <w:szCs w:val="24"/>
        </w:rPr>
        <w:t>elleçlenen toplam yük miktarını 530 milyon ton olarak kabul ettiğimizde B</w:t>
      </w:r>
      <w:r w:rsidR="00E9214B">
        <w:rPr>
          <w:rFonts w:cstheme="minorHAnsi"/>
          <w:sz w:val="24"/>
          <w:szCs w:val="24"/>
        </w:rPr>
        <w:t xml:space="preserve">TC terminalinin Türkiye’deki liman istatistiklerine (Dökme sıvı yük) etkisi yaklaşık </w:t>
      </w:r>
      <w:r w:rsidR="00D47547">
        <w:rPr>
          <w:rFonts w:cstheme="minorHAnsi"/>
          <w:sz w:val="24"/>
          <w:szCs w:val="24"/>
        </w:rPr>
        <w:t>-</w:t>
      </w:r>
      <w:r w:rsidR="00E9214B">
        <w:rPr>
          <w:rFonts w:cstheme="minorHAnsi"/>
          <w:sz w:val="24"/>
          <w:szCs w:val="24"/>
        </w:rPr>
        <w:t xml:space="preserve">2 </w:t>
      </w:r>
      <w:r w:rsidR="00D47547">
        <w:rPr>
          <w:rFonts w:cstheme="minorHAnsi"/>
          <w:sz w:val="24"/>
          <w:szCs w:val="24"/>
        </w:rPr>
        <w:t xml:space="preserve">ve +2 </w:t>
      </w:r>
      <w:r w:rsidR="00E9214B">
        <w:rPr>
          <w:rFonts w:cstheme="minorHAnsi"/>
          <w:sz w:val="24"/>
          <w:szCs w:val="24"/>
        </w:rPr>
        <w:t>milyon ton ortalamayla</w:t>
      </w:r>
      <w:r w:rsidR="00D47547">
        <w:rPr>
          <w:rFonts w:cstheme="minorHAnsi"/>
          <w:sz w:val="24"/>
          <w:szCs w:val="24"/>
        </w:rPr>
        <w:t xml:space="preserve"> %0,5 seviyesindedir.</w:t>
      </w:r>
      <w:r w:rsidR="00E9214B">
        <w:rPr>
          <w:rFonts w:cstheme="minorHAnsi"/>
          <w:sz w:val="24"/>
          <w:szCs w:val="24"/>
        </w:rPr>
        <w:t xml:space="preserve"> </w:t>
      </w:r>
      <w:r w:rsidR="00A144B8">
        <w:rPr>
          <w:rFonts w:cstheme="minorHAnsi"/>
          <w:sz w:val="24"/>
          <w:szCs w:val="24"/>
        </w:rPr>
        <w:t xml:space="preserve">Ceyhan liman başkanlığında elleçlenen toplam yükü </w:t>
      </w:r>
      <w:r w:rsidR="00875FBA">
        <w:rPr>
          <w:rFonts w:cstheme="minorHAnsi"/>
          <w:sz w:val="24"/>
          <w:szCs w:val="24"/>
        </w:rPr>
        <w:t>45 milyon ton olarak kabul ettiğimizde BTC terminalinin Ceyhan liman başkanlığındaki liman istatistiklerine (Dökme sıvı yük) etkisi yaklaşık -2 ve +2 milyon ton ortalamayla %</w:t>
      </w:r>
      <w:r w:rsidR="00BD6403">
        <w:rPr>
          <w:rFonts w:cstheme="minorHAnsi"/>
          <w:sz w:val="24"/>
          <w:szCs w:val="24"/>
        </w:rPr>
        <w:t>4</w:t>
      </w:r>
      <w:r w:rsidR="00875FBA">
        <w:rPr>
          <w:rFonts w:cstheme="minorHAnsi"/>
          <w:sz w:val="24"/>
          <w:szCs w:val="24"/>
        </w:rPr>
        <w:t>,5 seviyesindedir.</w:t>
      </w:r>
    </w:p>
    <w:p w14:paraId="4D9803EC" w14:textId="24C3B36E" w:rsidR="00175285" w:rsidRPr="005C6A8A" w:rsidRDefault="003B1ECD" w:rsidP="00320408">
      <w:pPr>
        <w:jc w:val="both"/>
        <w:rPr>
          <w:rFonts w:cstheme="minorHAnsi"/>
          <w:sz w:val="24"/>
          <w:szCs w:val="24"/>
        </w:rPr>
      </w:pPr>
      <w:r w:rsidRPr="00880442">
        <w:rPr>
          <w:rFonts w:cstheme="minorHAnsi"/>
          <w:sz w:val="24"/>
          <w:szCs w:val="24"/>
        </w:rPr>
        <w:t>Kerkük-Yumurtalık (BOTAŞ Ceyhan)</w:t>
      </w:r>
      <w:r>
        <w:rPr>
          <w:rFonts w:cstheme="minorHAnsi"/>
          <w:sz w:val="24"/>
          <w:szCs w:val="24"/>
        </w:rPr>
        <w:t xml:space="preserve"> terminali ise yukarıda da belirtildiği şekilde Irak’ta ve bölgede yaşanan gerilimlerden, ülkelerarası ilişkilerden de etkilendiğinden </w:t>
      </w:r>
      <w:r w:rsidR="00D749BC">
        <w:rPr>
          <w:rFonts w:cstheme="minorHAnsi"/>
          <w:sz w:val="24"/>
          <w:szCs w:val="24"/>
        </w:rPr>
        <w:t xml:space="preserve">normalde yılda 10 milyon tona yakın geçen hampetrol miktarı </w:t>
      </w:r>
      <w:r w:rsidR="00D47547">
        <w:rPr>
          <w:rFonts w:cstheme="minorHAnsi"/>
          <w:sz w:val="24"/>
          <w:szCs w:val="24"/>
        </w:rPr>
        <w:t xml:space="preserve">yıllara göre çok büyük oranlarda düşmektedir.  Türkiye’de elleçlenen toplam yük miktarını 530 milyon ton olarak kabul ettiğimizde </w:t>
      </w:r>
      <w:r w:rsidR="00D47547" w:rsidRPr="00880442">
        <w:rPr>
          <w:rFonts w:cstheme="minorHAnsi"/>
          <w:sz w:val="24"/>
          <w:szCs w:val="24"/>
        </w:rPr>
        <w:t>Kerkük-Yumurtalık (BOTAŞ Ceyhan</w:t>
      </w:r>
      <w:r w:rsidR="00BD6403">
        <w:rPr>
          <w:rFonts w:cstheme="minorHAnsi"/>
          <w:sz w:val="24"/>
          <w:szCs w:val="24"/>
        </w:rPr>
        <w:t>)</w:t>
      </w:r>
      <w:r w:rsidR="00D47547">
        <w:rPr>
          <w:rFonts w:cstheme="minorHAnsi"/>
          <w:sz w:val="24"/>
          <w:szCs w:val="24"/>
        </w:rPr>
        <w:t xml:space="preserve"> terminalinin Türkiye’deki liman istatistiklerine (Dökme sıvı yük) etkisi yaklaşık -10 ve +10 milyon ton ortalamayla %</w:t>
      </w:r>
      <w:r w:rsidR="000B65A3">
        <w:rPr>
          <w:rFonts w:cstheme="minorHAnsi"/>
          <w:sz w:val="24"/>
          <w:szCs w:val="24"/>
        </w:rPr>
        <w:t xml:space="preserve">2 </w:t>
      </w:r>
      <w:r w:rsidR="00A144B8">
        <w:rPr>
          <w:rFonts w:cstheme="minorHAnsi"/>
          <w:sz w:val="24"/>
          <w:szCs w:val="24"/>
        </w:rPr>
        <w:t xml:space="preserve">civarında olacaktır. </w:t>
      </w:r>
      <w:r w:rsidR="00BD6403">
        <w:rPr>
          <w:rFonts w:cstheme="minorHAnsi"/>
          <w:sz w:val="24"/>
          <w:szCs w:val="24"/>
        </w:rPr>
        <w:t xml:space="preserve">Ceyhan liman </w:t>
      </w:r>
      <w:r w:rsidR="00BD6403">
        <w:rPr>
          <w:rFonts w:cstheme="minorHAnsi"/>
          <w:sz w:val="24"/>
          <w:szCs w:val="24"/>
        </w:rPr>
        <w:lastRenderedPageBreak/>
        <w:t xml:space="preserve">başkanlığında elleçlenen toplam yükü 45 milyon ton olarak kabul ettiğimizde </w:t>
      </w:r>
      <w:r w:rsidR="00BD6403" w:rsidRPr="00880442">
        <w:rPr>
          <w:rFonts w:cstheme="minorHAnsi"/>
          <w:sz w:val="24"/>
          <w:szCs w:val="24"/>
        </w:rPr>
        <w:t>Kerkük-Yumurtalık (BOTAŞ Ceyhan</w:t>
      </w:r>
      <w:r w:rsidR="00BD6403">
        <w:rPr>
          <w:rFonts w:cstheme="minorHAnsi"/>
          <w:sz w:val="24"/>
          <w:szCs w:val="24"/>
        </w:rPr>
        <w:t>) terminalinin Ceyhan liman başkanlığındaki liman istatistiklerine (Dökme sıvı yük) etkisi yaklaşık -2 ve +2 milyon ton ortalamayla %</w:t>
      </w:r>
      <w:r w:rsidR="00E65D50">
        <w:rPr>
          <w:rFonts w:cstheme="minorHAnsi"/>
          <w:sz w:val="24"/>
          <w:szCs w:val="24"/>
        </w:rPr>
        <w:t>22</w:t>
      </w:r>
      <w:r w:rsidR="00BD6403">
        <w:rPr>
          <w:rFonts w:cstheme="minorHAnsi"/>
          <w:sz w:val="24"/>
          <w:szCs w:val="24"/>
        </w:rPr>
        <w:t xml:space="preserve"> seviyesindedir.</w:t>
      </w:r>
    </w:p>
    <w:p w14:paraId="03964A68" w14:textId="77777777" w:rsidR="001C6948" w:rsidRDefault="00880442" w:rsidP="00880442">
      <w:pPr>
        <w:pStyle w:val="ListeParagraf"/>
        <w:tabs>
          <w:tab w:val="left" w:pos="284"/>
        </w:tabs>
        <w:ind w:left="0"/>
        <w:jc w:val="center"/>
        <w:rPr>
          <w:rFonts w:cstheme="minorHAnsi"/>
          <w:b/>
          <w:bCs/>
          <w:sz w:val="22"/>
          <w:szCs w:val="22"/>
        </w:rPr>
      </w:pPr>
      <w:r w:rsidRPr="00B97965">
        <w:rPr>
          <w:rFonts w:cstheme="minorHAnsi"/>
          <w:b/>
          <w:bCs/>
          <w:sz w:val="22"/>
          <w:szCs w:val="22"/>
          <w:u w:val="single"/>
        </w:rPr>
        <w:t>Tablo-</w:t>
      </w:r>
      <w:r>
        <w:rPr>
          <w:rFonts w:cstheme="minorHAnsi"/>
          <w:b/>
          <w:bCs/>
          <w:sz w:val="22"/>
          <w:szCs w:val="22"/>
          <w:u w:val="single"/>
        </w:rPr>
        <w:t>3</w:t>
      </w:r>
      <w:r w:rsidRPr="00B97965">
        <w:rPr>
          <w:rFonts w:cstheme="minorHAnsi"/>
          <w:b/>
          <w:bCs/>
          <w:sz w:val="22"/>
          <w:szCs w:val="22"/>
          <w:u w:val="single"/>
        </w:rPr>
        <w:t>:</w:t>
      </w:r>
      <w:r w:rsidRPr="00B97965">
        <w:rPr>
          <w:rFonts w:cstheme="minorHAnsi"/>
          <w:b/>
          <w:bCs/>
          <w:sz w:val="22"/>
          <w:szCs w:val="22"/>
        </w:rPr>
        <w:t xml:space="preserve"> </w:t>
      </w:r>
      <w:r>
        <w:rPr>
          <w:rFonts w:cstheme="minorHAnsi"/>
          <w:b/>
          <w:bCs/>
          <w:sz w:val="22"/>
          <w:szCs w:val="22"/>
        </w:rPr>
        <w:t xml:space="preserve">Liman İstatistiklerine </w:t>
      </w:r>
      <w:r w:rsidR="001C6948">
        <w:rPr>
          <w:rFonts w:cstheme="minorHAnsi"/>
          <w:b/>
          <w:bCs/>
          <w:sz w:val="22"/>
          <w:szCs w:val="22"/>
        </w:rPr>
        <w:t xml:space="preserve">Giren </w:t>
      </w:r>
      <w:r>
        <w:rPr>
          <w:rFonts w:cstheme="minorHAnsi"/>
          <w:b/>
          <w:bCs/>
          <w:sz w:val="22"/>
          <w:szCs w:val="22"/>
        </w:rPr>
        <w:t xml:space="preserve">Transit Hampetrol </w:t>
      </w:r>
      <w:r w:rsidRPr="00B97965">
        <w:rPr>
          <w:rFonts w:cstheme="minorHAnsi"/>
          <w:b/>
          <w:bCs/>
          <w:sz w:val="22"/>
          <w:szCs w:val="22"/>
        </w:rPr>
        <w:t xml:space="preserve">Tonajları (Milyon Ton) </w:t>
      </w:r>
    </w:p>
    <w:p w14:paraId="7261331E" w14:textId="2D77CB9D" w:rsidR="00175285" w:rsidRDefault="00880442" w:rsidP="00E65D50">
      <w:pPr>
        <w:pStyle w:val="ListeParagraf"/>
        <w:tabs>
          <w:tab w:val="left" w:pos="284"/>
        </w:tabs>
        <w:ind w:left="0"/>
        <w:jc w:val="center"/>
        <w:rPr>
          <w:rFonts w:cstheme="minorHAnsi"/>
          <w:b/>
          <w:bCs/>
          <w:sz w:val="22"/>
          <w:szCs w:val="22"/>
        </w:rPr>
      </w:pPr>
      <w:r w:rsidRPr="00B97965">
        <w:rPr>
          <w:rFonts w:cstheme="minorHAnsi"/>
          <w:b/>
          <w:bCs/>
          <w:sz w:val="22"/>
          <w:szCs w:val="22"/>
        </w:rPr>
        <w:t>ve Büyüme Oranı (2012-2024*)</w:t>
      </w:r>
    </w:p>
    <w:tbl>
      <w:tblPr>
        <w:tblW w:w="94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52"/>
        <w:gridCol w:w="1585"/>
        <w:gridCol w:w="1667"/>
        <w:gridCol w:w="1584"/>
        <w:gridCol w:w="1586"/>
        <w:gridCol w:w="1146"/>
        <w:gridCol w:w="954"/>
      </w:tblGrid>
      <w:tr w:rsidR="00175285" w:rsidRPr="00175285" w14:paraId="45DC37C0" w14:textId="77777777" w:rsidTr="00175285">
        <w:trPr>
          <w:trHeight w:val="1100"/>
          <w:jc w:val="center"/>
        </w:trPr>
        <w:tc>
          <w:tcPr>
            <w:tcW w:w="952" w:type="dxa"/>
            <w:vMerge w:val="restart"/>
            <w:shd w:val="clear" w:color="000000" w:fill="FFFF00"/>
            <w:vAlign w:val="center"/>
            <w:hideMark/>
          </w:tcPr>
          <w:p w14:paraId="54E59AA9" w14:textId="77777777" w:rsidR="00175285" w:rsidRPr="00175285" w:rsidRDefault="00175285" w:rsidP="00175285">
            <w:pPr>
              <w:spacing w:after="0" w:line="240" w:lineRule="auto"/>
              <w:jc w:val="center"/>
              <w:rPr>
                <w:rFonts w:ascii="Aptos" w:eastAsia="Times New Roman" w:hAnsi="Aptos" w:cs="Times New Roman"/>
                <w:b/>
                <w:bCs/>
                <w:color w:val="333333"/>
                <w:lang w:eastAsia="tr-TR"/>
              </w:rPr>
            </w:pPr>
            <w:r w:rsidRPr="00175285">
              <w:rPr>
                <w:rFonts w:ascii="Aptos" w:eastAsia="Times New Roman" w:hAnsi="Aptos" w:cs="Times New Roman"/>
                <w:b/>
                <w:bCs/>
                <w:color w:val="333333"/>
                <w:lang w:eastAsia="tr-TR"/>
              </w:rPr>
              <w:t>Yıllar</w:t>
            </w:r>
          </w:p>
        </w:tc>
        <w:tc>
          <w:tcPr>
            <w:tcW w:w="1585" w:type="dxa"/>
            <w:vMerge w:val="restart"/>
            <w:shd w:val="clear" w:color="000000" w:fill="FFFF00"/>
            <w:vAlign w:val="center"/>
            <w:hideMark/>
          </w:tcPr>
          <w:p w14:paraId="076B3531" w14:textId="77777777" w:rsidR="00175285" w:rsidRPr="00175285" w:rsidRDefault="00175285" w:rsidP="00175285">
            <w:pPr>
              <w:spacing w:after="0" w:line="240" w:lineRule="auto"/>
              <w:jc w:val="center"/>
              <w:rPr>
                <w:rFonts w:ascii="Aptos" w:eastAsia="Times New Roman" w:hAnsi="Aptos" w:cs="Times New Roman"/>
                <w:b/>
                <w:bCs/>
                <w:color w:val="333333"/>
                <w:lang w:eastAsia="tr-TR"/>
              </w:rPr>
            </w:pPr>
            <w:r w:rsidRPr="00175285">
              <w:rPr>
                <w:rFonts w:ascii="Aptos" w:eastAsia="Times New Roman" w:hAnsi="Aptos" w:cs="Times New Roman"/>
                <w:b/>
                <w:bCs/>
                <w:color w:val="333333"/>
                <w:lang w:eastAsia="tr-TR"/>
              </w:rPr>
              <w:t>Kerkük-Yumurtalık (BOTAŞ Ceyhan)</w:t>
            </w:r>
          </w:p>
        </w:tc>
        <w:tc>
          <w:tcPr>
            <w:tcW w:w="1667" w:type="dxa"/>
            <w:vMerge w:val="restart"/>
            <w:shd w:val="clear" w:color="000000" w:fill="FFFF00"/>
            <w:vAlign w:val="center"/>
            <w:hideMark/>
          </w:tcPr>
          <w:p w14:paraId="36E44C94" w14:textId="77777777" w:rsidR="00175285" w:rsidRPr="00175285" w:rsidRDefault="00175285" w:rsidP="00175285">
            <w:pPr>
              <w:spacing w:after="0" w:line="240" w:lineRule="auto"/>
              <w:jc w:val="center"/>
              <w:rPr>
                <w:rFonts w:ascii="Aptos" w:eastAsia="Times New Roman" w:hAnsi="Aptos" w:cs="Times New Roman"/>
                <w:b/>
                <w:bCs/>
                <w:color w:val="333333"/>
                <w:lang w:eastAsia="tr-TR"/>
              </w:rPr>
            </w:pPr>
            <w:r w:rsidRPr="00175285">
              <w:rPr>
                <w:rFonts w:ascii="Aptos" w:eastAsia="Times New Roman" w:hAnsi="Aptos" w:cs="Times New Roman"/>
                <w:b/>
                <w:bCs/>
                <w:color w:val="333333"/>
                <w:lang w:eastAsia="tr-TR"/>
              </w:rPr>
              <w:t>Kerkük-Yumurtalık (BOTAŞ Ceyhan) Büyüme Oranı</w:t>
            </w:r>
          </w:p>
        </w:tc>
        <w:tc>
          <w:tcPr>
            <w:tcW w:w="1584" w:type="dxa"/>
            <w:vMerge w:val="restart"/>
            <w:shd w:val="clear" w:color="000000" w:fill="FFFF00"/>
            <w:vAlign w:val="center"/>
            <w:hideMark/>
          </w:tcPr>
          <w:p w14:paraId="6F5A90F2" w14:textId="77777777" w:rsidR="00175285" w:rsidRPr="00175285" w:rsidRDefault="00175285" w:rsidP="00175285">
            <w:pPr>
              <w:spacing w:after="0" w:line="240" w:lineRule="auto"/>
              <w:jc w:val="center"/>
              <w:rPr>
                <w:rFonts w:ascii="Aptos" w:eastAsia="Times New Roman" w:hAnsi="Aptos" w:cs="Times New Roman"/>
                <w:b/>
                <w:bCs/>
                <w:color w:val="333333"/>
                <w:lang w:eastAsia="tr-TR"/>
              </w:rPr>
            </w:pPr>
            <w:r w:rsidRPr="00175285">
              <w:rPr>
                <w:rFonts w:ascii="Aptos" w:eastAsia="Times New Roman" w:hAnsi="Aptos" w:cs="Times New Roman"/>
                <w:b/>
                <w:bCs/>
                <w:color w:val="333333"/>
                <w:lang w:eastAsia="tr-TR"/>
              </w:rPr>
              <w:t>Bakü-Tiflis-Ceyhan (BTC)</w:t>
            </w:r>
          </w:p>
        </w:tc>
        <w:tc>
          <w:tcPr>
            <w:tcW w:w="1586" w:type="dxa"/>
            <w:vMerge w:val="restart"/>
            <w:shd w:val="clear" w:color="000000" w:fill="FFFF00"/>
            <w:vAlign w:val="center"/>
            <w:hideMark/>
          </w:tcPr>
          <w:p w14:paraId="00778330" w14:textId="77777777" w:rsidR="00175285" w:rsidRPr="00175285" w:rsidRDefault="00175285" w:rsidP="00175285">
            <w:pPr>
              <w:spacing w:after="0" w:line="240" w:lineRule="auto"/>
              <w:jc w:val="center"/>
              <w:rPr>
                <w:rFonts w:ascii="Aptos" w:eastAsia="Times New Roman" w:hAnsi="Aptos" w:cs="Times New Roman"/>
                <w:b/>
                <w:bCs/>
                <w:color w:val="333333"/>
                <w:lang w:eastAsia="tr-TR"/>
              </w:rPr>
            </w:pPr>
            <w:r w:rsidRPr="00175285">
              <w:rPr>
                <w:rFonts w:ascii="Aptos" w:eastAsia="Times New Roman" w:hAnsi="Aptos" w:cs="Times New Roman"/>
                <w:b/>
                <w:bCs/>
                <w:color w:val="333333"/>
                <w:lang w:eastAsia="tr-TR"/>
              </w:rPr>
              <w:t>Bakü-Tiflis-Ceyhan (BTC) Büyüme Oranı</w:t>
            </w:r>
          </w:p>
        </w:tc>
        <w:tc>
          <w:tcPr>
            <w:tcW w:w="1146" w:type="dxa"/>
            <w:vMerge w:val="restart"/>
            <w:shd w:val="clear" w:color="000000" w:fill="FFFF00"/>
            <w:vAlign w:val="center"/>
            <w:hideMark/>
          </w:tcPr>
          <w:p w14:paraId="03F071E0" w14:textId="77777777" w:rsidR="00175285" w:rsidRPr="00175285" w:rsidRDefault="00175285" w:rsidP="00175285">
            <w:pPr>
              <w:spacing w:after="0" w:line="240" w:lineRule="auto"/>
              <w:jc w:val="center"/>
              <w:rPr>
                <w:rFonts w:ascii="Aptos" w:eastAsia="Times New Roman" w:hAnsi="Aptos" w:cs="Times New Roman"/>
                <w:b/>
                <w:bCs/>
                <w:color w:val="333333"/>
                <w:lang w:eastAsia="tr-TR"/>
              </w:rPr>
            </w:pPr>
            <w:r w:rsidRPr="00175285">
              <w:rPr>
                <w:rFonts w:ascii="Aptos" w:eastAsia="Times New Roman" w:hAnsi="Aptos" w:cs="Times New Roman"/>
                <w:b/>
                <w:bCs/>
                <w:color w:val="333333"/>
                <w:lang w:eastAsia="tr-TR"/>
              </w:rPr>
              <w:t>TOPLAM (Yıllık)</w:t>
            </w:r>
          </w:p>
        </w:tc>
        <w:tc>
          <w:tcPr>
            <w:tcW w:w="954" w:type="dxa"/>
            <w:vMerge w:val="restart"/>
            <w:shd w:val="clear" w:color="000000" w:fill="FFFF00"/>
            <w:vAlign w:val="center"/>
            <w:hideMark/>
          </w:tcPr>
          <w:p w14:paraId="3A4D6303" w14:textId="77777777" w:rsidR="00175285" w:rsidRPr="00175285" w:rsidRDefault="00175285" w:rsidP="00175285">
            <w:pPr>
              <w:spacing w:after="0" w:line="240" w:lineRule="auto"/>
              <w:jc w:val="center"/>
              <w:rPr>
                <w:rFonts w:ascii="Aptos" w:eastAsia="Times New Roman" w:hAnsi="Aptos" w:cs="Times New Roman"/>
                <w:b/>
                <w:bCs/>
                <w:color w:val="333333"/>
                <w:lang w:eastAsia="tr-TR"/>
              </w:rPr>
            </w:pPr>
            <w:r w:rsidRPr="00175285">
              <w:rPr>
                <w:rFonts w:ascii="Aptos" w:eastAsia="Times New Roman" w:hAnsi="Aptos" w:cs="Times New Roman"/>
                <w:b/>
                <w:bCs/>
                <w:color w:val="333333"/>
                <w:lang w:eastAsia="tr-TR"/>
              </w:rPr>
              <w:t>TOPLAM Büyüme Oranı</w:t>
            </w:r>
          </w:p>
        </w:tc>
      </w:tr>
      <w:tr w:rsidR="00175285" w:rsidRPr="00175285" w14:paraId="0914CFAB" w14:textId="77777777" w:rsidTr="00175285">
        <w:trPr>
          <w:trHeight w:val="493"/>
          <w:jc w:val="center"/>
        </w:trPr>
        <w:tc>
          <w:tcPr>
            <w:tcW w:w="952" w:type="dxa"/>
            <w:vMerge/>
            <w:vAlign w:val="center"/>
            <w:hideMark/>
          </w:tcPr>
          <w:p w14:paraId="2C538A2E" w14:textId="77777777" w:rsidR="00175285" w:rsidRPr="00175285" w:rsidRDefault="00175285" w:rsidP="00175285">
            <w:pPr>
              <w:spacing w:after="0" w:line="240" w:lineRule="auto"/>
              <w:rPr>
                <w:rFonts w:ascii="Aptos" w:eastAsia="Times New Roman" w:hAnsi="Aptos" w:cs="Times New Roman"/>
                <w:b/>
                <w:bCs/>
                <w:color w:val="333333"/>
                <w:lang w:eastAsia="tr-TR"/>
              </w:rPr>
            </w:pPr>
          </w:p>
        </w:tc>
        <w:tc>
          <w:tcPr>
            <w:tcW w:w="1585" w:type="dxa"/>
            <w:vMerge/>
            <w:vAlign w:val="center"/>
            <w:hideMark/>
          </w:tcPr>
          <w:p w14:paraId="1BE8E0DA" w14:textId="77777777" w:rsidR="00175285" w:rsidRPr="00175285" w:rsidRDefault="00175285" w:rsidP="00175285">
            <w:pPr>
              <w:spacing w:after="0" w:line="240" w:lineRule="auto"/>
              <w:rPr>
                <w:rFonts w:ascii="Aptos" w:eastAsia="Times New Roman" w:hAnsi="Aptos" w:cs="Times New Roman"/>
                <w:b/>
                <w:bCs/>
                <w:color w:val="333333"/>
                <w:lang w:eastAsia="tr-TR"/>
              </w:rPr>
            </w:pPr>
          </w:p>
        </w:tc>
        <w:tc>
          <w:tcPr>
            <w:tcW w:w="1667" w:type="dxa"/>
            <w:vMerge/>
            <w:vAlign w:val="center"/>
            <w:hideMark/>
          </w:tcPr>
          <w:p w14:paraId="5006D260" w14:textId="77777777" w:rsidR="00175285" w:rsidRPr="00175285" w:rsidRDefault="00175285" w:rsidP="00175285">
            <w:pPr>
              <w:spacing w:after="0" w:line="240" w:lineRule="auto"/>
              <w:rPr>
                <w:rFonts w:ascii="Aptos" w:eastAsia="Times New Roman" w:hAnsi="Aptos" w:cs="Times New Roman"/>
                <w:b/>
                <w:bCs/>
                <w:color w:val="333333"/>
                <w:lang w:eastAsia="tr-TR"/>
              </w:rPr>
            </w:pPr>
          </w:p>
        </w:tc>
        <w:tc>
          <w:tcPr>
            <w:tcW w:w="1584" w:type="dxa"/>
            <w:vMerge/>
            <w:vAlign w:val="center"/>
            <w:hideMark/>
          </w:tcPr>
          <w:p w14:paraId="30C19C25" w14:textId="77777777" w:rsidR="00175285" w:rsidRPr="00175285" w:rsidRDefault="00175285" w:rsidP="00175285">
            <w:pPr>
              <w:spacing w:after="0" w:line="240" w:lineRule="auto"/>
              <w:rPr>
                <w:rFonts w:ascii="Aptos" w:eastAsia="Times New Roman" w:hAnsi="Aptos" w:cs="Times New Roman"/>
                <w:b/>
                <w:bCs/>
                <w:color w:val="333333"/>
                <w:lang w:eastAsia="tr-TR"/>
              </w:rPr>
            </w:pPr>
          </w:p>
        </w:tc>
        <w:tc>
          <w:tcPr>
            <w:tcW w:w="1586" w:type="dxa"/>
            <w:vMerge/>
            <w:vAlign w:val="center"/>
            <w:hideMark/>
          </w:tcPr>
          <w:p w14:paraId="0E90072B" w14:textId="77777777" w:rsidR="00175285" w:rsidRPr="00175285" w:rsidRDefault="00175285" w:rsidP="00175285">
            <w:pPr>
              <w:spacing w:after="0" w:line="240" w:lineRule="auto"/>
              <w:rPr>
                <w:rFonts w:ascii="Aptos" w:eastAsia="Times New Roman" w:hAnsi="Aptos" w:cs="Times New Roman"/>
                <w:b/>
                <w:bCs/>
                <w:color w:val="333333"/>
                <w:lang w:eastAsia="tr-TR"/>
              </w:rPr>
            </w:pPr>
          </w:p>
        </w:tc>
        <w:tc>
          <w:tcPr>
            <w:tcW w:w="1146" w:type="dxa"/>
            <w:vMerge/>
            <w:vAlign w:val="center"/>
            <w:hideMark/>
          </w:tcPr>
          <w:p w14:paraId="466FBA49" w14:textId="77777777" w:rsidR="00175285" w:rsidRPr="00175285" w:rsidRDefault="00175285" w:rsidP="00175285">
            <w:pPr>
              <w:spacing w:after="0" w:line="240" w:lineRule="auto"/>
              <w:rPr>
                <w:rFonts w:ascii="Aptos" w:eastAsia="Times New Roman" w:hAnsi="Aptos" w:cs="Times New Roman"/>
                <w:b/>
                <w:bCs/>
                <w:color w:val="333333"/>
                <w:lang w:eastAsia="tr-TR"/>
              </w:rPr>
            </w:pPr>
          </w:p>
        </w:tc>
        <w:tc>
          <w:tcPr>
            <w:tcW w:w="954" w:type="dxa"/>
            <w:vMerge/>
            <w:vAlign w:val="center"/>
            <w:hideMark/>
          </w:tcPr>
          <w:p w14:paraId="474A6F2A" w14:textId="77777777" w:rsidR="00175285" w:rsidRPr="00175285" w:rsidRDefault="00175285" w:rsidP="00175285">
            <w:pPr>
              <w:spacing w:after="0" w:line="240" w:lineRule="auto"/>
              <w:rPr>
                <w:rFonts w:ascii="Aptos" w:eastAsia="Times New Roman" w:hAnsi="Aptos" w:cs="Times New Roman"/>
                <w:b/>
                <w:bCs/>
                <w:color w:val="333333"/>
                <w:lang w:eastAsia="tr-TR"/>
              </w:rPr>
            </w:pPr>
          </w:p>
        </w:tc>
      </w:tr>
      <w:tr w:rsidR="00175285" w:rsidRPr="00175285" w14:paraId="0FAE3B98" w14:textId="77777777" w:rsidTr="00175285">
        <w:trPr>
          <w:trHeight w:val="300"/>
          <w:jc w:val="center"/>
        </w:trPr>
        <w:tc>
          <w:tcPr>
            <w:tcW w:w="952" w:type="dxa"/>
            <w:shd w:val="clear" w:color="auto" w:fill="auto"/>
            <w:noWrap/>
            <w:vAlign w:val="center"/>
            <w:hideMark/>
          </w:tcPr>
          <w:p w14:paraId="7E6F8C4A"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2012</w:t>
            </w:r>
          </w:p>
        </w:tc>
        <w:tc>
          <w:tcPr>
            <w:tcW w:w="1585" w:type="dxa"/>
            <w:shd w:val="clear" w:color="auto" w:fill="auto"/>
            <w:noWrap/>
            <w:vAlign w:val="center"/>
            <w:hideMark/>
          </w:tcPr>
          <w:p w14:paraId="1865E36E"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7.552</w:t>
            </w:r>
          </w:p>
        </w:tc>
        <w:tc>
          <w:tcPr>
            <w:tcW w:w="1667" w:type="dxa"/>
            <w:shd w:val="clear" w:color="auto" w:fill="auto"/>
            <w:noWrap/>
            <w:vAlign w:val="center"/>
            <w:hideMark/>
          </w:tcPr>
          <w:p w14:paraId="17D29FD9"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 </w:t>
            </w:r>
          </w:p>
        </w:tc>
        <w:tc>
          <w:tcPr>
            <w:tcW w:w="1584" w:type="dxa"/>
            <w:shd w:val="clear" w:color="auto" w:fill="auto"/>
            <w:noWrap/>
            <w:vAlign w:val="center"/>
            <w:hideMark/>
          </w:tcPr>
          <w:p w14:paraId="064AF3BE"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14.056</w:t>
            </w:r>
          </w:p>
        </w:tc>
        <w:tc>
          <w:tcPr>
            <w:tcW w:w="1586" w:type="dxa"/>
            <w:shd w:val="clear" w:color="auto" w:fill="auto"/>
            <w:noWrap/>
            <w:vAlign w:val="center"/>
            <w:hideMark/>
          </w:tcPr>
          <w:p w14:paraId="04758470"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 </w:t>
            </w:r>
          </w:p>
        </w:tc>
        <w:tc>
          <w:tcPr>
            <w:tcW w:w="1146" w:type="dxa"/>
            <w:shd w:val="clear" w:color="auto" w:fill="auto"/>
            <w:noWrap/>
            <w:vAlign w:val="center"/>
            <w:hideMark/>
          </w:tcPr>
          <w:p w14:paraId="2B6669F2"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21.608</w:t>
            </w:r>
          </w:p>
        </w:tc>
        <w:tc>
          <w:tcPr>
            <w:tcW w:w="954" w:type="dxa"/>
            <w:shd w:val="clear" w:color="auto" w:fill="auto"/>
            <w:noWrap/>
            <w:vAlign w:val="center"/>
            <w:hideMark/>
          </w:tcPr>
          <w:p w14:paraId="12FB37AB" w14:textId="77777777" w:rsidR="00175285" w:rsidRPr="00175285" w:rsidRDefault="00175285" w:rsidP="00175285">
            <w:pPr>
              <w:spacing w:after="0" w:line="240" w:lineRule="auto"/>
              <w:jc w:val="right"/>
              <w:rPr>
                <w:rFonts w:ascii="Aptos Narrow" w:eastAsia="Times New Roman" w:hAnsi="Aptos Narrow" w:cs="Times New Roman"/>
                <w:color w:val="000000"/>
                <w:lang w:eastAsia="tr-TR"/>
              </w:rPr>
            </w:pPr>
            <w:r w:rsidRPr="00175285">
              <w:rPr>
                <w:rFonts w:ascii="Aptos Narrow" w:eastAsia="Times New Roman" w:hAnsi="Aptos Narrow" w:cs="Times New Roman"/>
                <w:color w:val="000000"/>
                <w:lang w:eastAsia="tr-TR"/>
              </w:rPr>
              <w:t>- </w:t>
            </w:r>
          </w:p>
        </w:tc>
      </w:tr>
      <w:tr w:rsidR="00175285" w:rsidRPr="00175285" w14:paraId="599AE0DC" w14:textId="77777777" w:rsidTr="00175285">
        <w:trPr>
          <w:trHeight w:val="300"/>
          <w:jc w:val="center"/>
        </w:trPr>
        <w:tc>
          <w:tcPr>
            <w:tcW w:w="952" w:type="dxa"/>
            <w:shd w:val="clear" w:color="auto" w:fill="auto"/>
            <w:noWrap/>
            <w:vAlign w:val="center"/>
            <w:hideMark/>
          </w:tcPr>
          <w:p w14:paraId="2A30F35D"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2013</w:t>
            </w:r>
          </w:p>
        </w:tc>
        <w:tc>
          <w:tcPr>
            <w:tcW w:w="1585" w:type="dxa"/>
            <w:shd w:val="clear" w:color="auto" w:fill="auto"/>
            <w:noWrap/>
            <w:vAlign w:val="center"/>
            <w:hideMark/>
          </w:tcPr>
          <w:p w14:paraId="32F4F2A7"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5.159</w:t>
            </w:r>
          </w:p>
        </w:tc>
        <w:tc>
          <w:tcPr>
            <w:tcW w:w="1667" w:type="dxa"/>
            <w:shd w:val="clear" w:color="auto" w:fill="auto"/>
            <w:noWrap/>
            <w:vAlign w:val="center"/>
            <w:hideMark/>
          </w:tcPr>
          <w:p w14:paraId="7A0DCF86"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-32%</w:t>
            </w:r>
          </w:p>
        </w:tc>
        <w:tc>
          <w:tcPr>
            <w:tcW w:w="1584" w:type="dxa"/>
            <w:shd w:val="clear" w:color="auto" w:fill="auto"/>
            <w:noWrap/>
            <w:vAlign w:val="center"/>
            <w:hideMark/>
          </w:tcPr>
          <w:p w14:paraId="7EDF463B"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14.015</w:t>
            </w:r>
          </w:p>
        </w:tc>
        <w:tc>
          <w:tcPr>
            <w:tcW w:w="1586" w:type="dxa"/>
            <w:shd w:val="clear" w:color="auto" w:fill="auto"/>
            <w:noWrap/>
            <w:vAlign w:val="center"/>
            <w:hideMark/>
          </w:tcPr>
          <w:p w14:paraId="56963DB1"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0%</w:t>
            </w:r>
          </w:p>
        </w:tc>
        <w:tc>
          <w:tcPr>
            <w:tcW w:w="1146" w:type="dxa"/>
            <w:shd w:val="clear" w:color="auto" w:fill="auto"/>
            <w:noWrap/>
            <w:vAlign w:val="center"/>
            <w:hideMark/>
          </w:tcPr>
          <w:p w14:paraId="5CC99DAB"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19.174</w:t>
            </w:r>
          </w:p>
        </w:tc>
        <w:tc>
          <w:tcPr>
            <w:tcW w:w="954" w:type="dxa"/>
            <w:shd w:val="clear" w:color="auto" w:fill="auto"/>
            <w:noWrap/>
            <w:vAlign w:val="center"/>
            <w:hideMark/>
          </w:tcPr>
          <w:p w14:paraId="3DB29851" w14:textId="77777777" w:rsidR="00175285" w:rsidRPr="00175285" w:rsidRDefault="00175285" w:rsidP="00175285">
            <w:pPr>
              <w:spacing w:after="0" w:line="240" w:lineRule="auto"/>
              <w:jc w:val="right"/>
              <w:rPr>
                <w:rFonts w:ascii="Aptos Narrow" w:eastAsia="Times New Roman" w:hAnsi="Aptos Narrow" w:cs="Times New Roman"/>
                <w:color w:val="FF0000"/>
                <w:lang w:eastAsia="tr-TR"/>
              </w:rPr>
            </w:pPr>
            <w:r w:rsidRPr="00175285">
              <w:rPr>
                <w:rFonts w:ascii="Aptos Narrow" w:eastAsia="Times New Roman" w:hAnsi="Aptos Narrow" w:cs="Times New Roman"/>
                <w:color w:val="FF0000"/>
                <w:lang w:eastAsia="tr-TR"/>
              </w:rPr>
              <w:t>-11,27%</w:t>
            </w:r>
          </w:p>
        </w:tc>
      </w:tr>
      <w:tr w:rsidR="00175285" w:rsidRPr="00175285" w14:paraId="77876A53" w14:textId="77777777" w:rsidTr="00175285">
        <w:trPr>
          <w:trHeight w:val="300"/>
          <w:jc w:val="center"/>
        </w:trPr>
        <w:tc>
          <w:tcPr>
            <w:tcW w:w="952" w:type="dxa"/>
            <w:shd w:val="clear" w:color="auto" w:fill="auto"/>
            <w:noWrap/>
            <w:vAlign w:val="center"/>
            <w:hideMark/>
          </w:tcPr>
          <w:p w14:paraId="25B14432"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2014</w:t>
            </w:r>
          </w:p>
        </w:tc>
        <w:tc>
          <w:tcPr>
            <w:tcW w:w="1585" w:type="dxa"/>
            <w:shd w:val="clear" w:color="auto" w:fill="auto"/>
            <w:noWrap/>
            <w:vAlign w:val="center"/>
            <w:hideMark/>
          </w:tcPr>
          <w:p w14:paraId="1C91F7B3"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3.143</w:t>
            </w:r>
          </w:p>
        </w:tc>
        <w:tc>
          <w:tcPr>
            <w:tcW w:w="1667" w:type="dxa"/>
            <w:shd w:val="clear" w:color="auto" w:fill="auto"/>
            <w:noWrap/>
            <w:vAlign w:val="center"/>
            <w:hideMark/>
          </w:tcPr>
          <w:p w14:paraId="26D85716"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-39%</w:t>
            </w:r>
          </w:p>
        </w:tc>
        <w:tc>
          <w:tcPr>
            <w:tcW w:w="1584" w:type="dxa"/>
            <w:shd w:val="clear" w:color="auto" w:fill="auto"/>
            <w:noWrap/>
            <w:vAlign w:val="center"/>
            <w:hideMark/>
          </w:tcPr>
          <w:p w14:paraId="54919E4A"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14.636</w:t>
            </w:r>
          </w:p>
        </w:tc>
        <w:tc>
          <w:tcPr>
            <w:tcW w:w="1586" w:type="dxa"/>
            <w:shd w:val="clear" w:color="auto" w:fill="auto"/>
            <w:noWrap/>
            <w:vAlign w:val="center"/>
            <w:hideMark/>
          </w:tcPr>
          <w:p w14:paraId="717258AB"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4%</w:t>
            </w:r>
          </w:p>
        </w:tc>
        <w:tc>
          <w:tcPr>
            <w:tcW w:w="1146" w:type="dxa"/>
            <w:shd w:val="clear" w:color="auto" w:fill="auto"/>
            <w:noWrap/>
            <w:vAlign w:val="center"/>
            <w:hideMark/>
          </w:tcPr>
          <w:p w14:paraId="4AC08584"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17.779</w:t>
            </w:r>
          </w:p>
        </w:tc>
        <w:tc>
          <w:tcPr>
            <w:tcW w:w="954" w:type="dxa"/>
            <w:shd w:val="clear" w:color="auto" w:fill="auto"/>
            <w:noWrap/>
            <w:vAlign w:val="center"/>
            <w:hideMark/>
          </w:tcPr>
          <w:p w14:paraId="56CEFA49" w14:textId="77777777" w:rsidR="00175285" w:rsidRPr="00175285" w:rsidRDefault="00175285" w:rsidP="00175285">
            <w:pPr>
              <w:spacing w:after="0" w:line="240" w:lineRule="auto"/>
              <w:jc w:val="right"/>
              <w:rPr>
                <w:rFonts w:ascii="Aptos Narrow" w:eastAsia="Times New Roman" w:hAnsi="Aptos Narrow" w:cs="Times New Roman"/>
                <w:color w:val="FF0000"/>
                <w:lang w:eastAsia="tr-TR"/>
              </w:rPr>
            </w:pPr>
            <w:r w:rsidRPr="00175285">
              <w:rPr>
                <w:rFonts w:ascii="Aptos Narrow" w:eastAsia="Times New Roman" w:hAnsi="Aptos Narrow" w:cs="Times New Roman"/>
                <w:color w:val="FF0000"/>
                <w:lang w:eastAsia="tr-TR"/>
              </w:rPr>
              <w:t>-7,28%</w:t>
            </w:r>
          </w:p>
        </w:tc>
      </w:tr>
      <w:tr w:rsidR="00175285" w:rsidRPr="00175285" w14:paraId="71EF0F6A" w14:textId="77777777" w:rsidTr="00175285">
        <w:trPr>
          <w:trHeight w:val="300"/>
          <w:jc w:val="center"/>
        </w:trPr>
        <w:tc>
          <w:tcPr>
            <w:tcW w:w="952" w:type="dxa"/>
            <w:shd w:val="clear" w:color="auto" w:fill="auto"/>
            <w:noWrap/>
            <w:vAlign w:val="center"/>
            <w:hideMark/>
          </w:tcPr>
          <w:p w14:paraId="2106E5D8"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2015</w:t>
            </w:r>
          </w:p>
        </w:tc>
        <w:tc>
          <w:tcPr>
            <w:tcW w:w="1585" w:type="dxa"/>
            <w:shd w:val="clear" w:color="auto" w:fill="auto"/>
            <w:noWrap/>
            <w:vAlign w:val="center"/>
            <w:hideMark/>
          </w:tcPr>
          <w:p w14:paraId="20AC5455"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10.804</w:t>
            </w:r>
          </w:p>
        </w:tc>
        <w:tc>
          <w:tcPr>
            <w:tcW w:w="1667" w:type="dxa"/>
            <w:shd w:val="clear" w:color="auto" w:fill="auto"/>
            <w:noWrap/>
            <w:vAlign w:val="center"/>
            <w:hideMark/>
          </w:tcPr>
          <w:p w14:paraId="0E2BF196"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244%</w:t>
            </w:r>
          </w:p>
        </w:tc>
        <w:tc>
          <w:tcPr>
            <w:tcW w:w="1584" w:type="dxa"/>
            <w:shd w:val="clear" w:color="auto" w:fill="auto"/>
            <w:noWrap/>
            <w:vAlign w:val="center"/>
            <w:hideMark/>
          </w:tcPr>
          <w:p w14:paraId="46DFBD84"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14.721</w:t>
            </w:r>
          </w:p>
        </w:tc>
        <w:tc>
          <w:tcPr>
            <w:tcW w:w="1586" w:type="dxa"/>
            <w:shd w:val="clear" w:color="auto" w:fill="auto"/>
            <w:noWrap/>
            <w:vAlign w:val="center"/>
            <w:hideMark/>
          </w:tcPr>
          <w:p w14:paraId="1076495F"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w:t>
            </w:r>
          </w:p>
        </w:tc>
        <w:tc>
          <w:tcPr>
            <w:tcW w:w="1146" w:type="dxa"/>
            <w:shd w:val="clear" w:color="auto" w:fill="auto"/>
            <w:noWrap/>
            <w:vAlign w:val="center"/>
            <w:hideMark/>
          </w:tcPr>
          <w:p w14:paraId="24E981E1"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25.527</w:t>
            </w:r>
          </w:p>
        </w:tc>
        <w:tc>
          <w:tcPr>
            <w:tcW w:w="954" w:type="dxa"/>
            <w:shd w:val="clear" w:color="auto" w:fill="auto"/>
            <w:noWrap/>
            <w:vAlign w:val="center"/>
            <w:hideMark/>
          </w:tcPr>
          <w:p w14:paraId="2D284957" w14:textId="77777777" w:rsidR="00175285" w:rsidRPr="00175285" w:rsidRDefault="00175285" w:rsidP="00175285">
            <w:pPr>
              <w:spacing w:after="0" w:line="240" w:lineRule="auto"/>
              <w:jc w:val="right"/>
              <w:rPr>
                <w:rFonts w:ascii="Aptos Narrow" w:eastAsia="Times New Roman" w:hAnsi="Aptos Narrow" w:cs="Times New Roman"/>
                <w:lang w:eastAsia="tr-TR"/>
              </w:rPr>
            </w:pPr>
            <w:r w:rsidRPr="00175285">
              <w:rPr>
                <w:rFonts w:ascii="Aptos Narrow" w:eastAsia="Times New Roman" w:hAnsi="Aptos Narrow" w:cs="Times New Roman"/>
                <w:lang w:eastAsia="tr-TR"/>
              </w:rPr>
              <w:t>43,59%</w:t>
            </w:r>
          </w:p>
        </w:tc>
      </w:tr>
      <w:tr w:rsidR="00175285" w:rsidRPr="00175285" w14:paraId="5683D923" w14:textId="77777777" w:rsidTr="00175285">
        <w:trPr>
          <w:trHeight w:val="300"/>
          <w:jc w:val="center"/>
        </w:trPr>
        <w:tc>
          <w:tcPr>
            <w:tcW w:w="952" w:type="dxa"/>
            <w:shd w:val="clear" w:color="auto" w:fill="auto"/>
            <w:noWrap/>
            <w:vAlign w:val="center"/>
            <w:hideMark/>
          </w:tcPr>
          <w:p w14:paraId="7B2F4FB6"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2016</w:t>
            </w:r>
          </w:p>
        </w:tc>
        <w:tc>
          <w:tcPr>
            <w:tcW w:w="1585" w:type="dxa"/>
            <w:shd w:val="clear" w:color="auto" w:fill="auto"/>
            <w:noWrap/>
            <w:vAlign w:val="center"/>
            <w:hideMark/>
          </w:tcPr>
          <w:p w14:paraId="61120335"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10.636</w:t>
            </w:r>
          </w:p>
        </w:tc>
        <w:tc>
          <w:tcPr>
            <w:tcW w:w="1667" w:type="dxa"/>
            <w:shd w:val="clear" w:color="auto" w:fill="auto"/>
            <w:noWrap/>
            <w:vAlign w:val="center"/>
            <w:hideMark/>
          </w:tcPr>
          <w:p w14:paraId="0B11FF78"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-2%</w:t>
            </w:r>
          </w:p>
        </w:tc>
        <w:tc>
          <w:tcPr>
            <w:tcW w:w="1584" w:type="dxa"/>
            <w:shd w:val="clear" w:color="auto" w:fill="auto"/>
            <w:noWrap/>
            <w:vAlign w:val="center"/>
            <w:hideMark/>
          </w:tcPr>
          <w:p w14:paraId="4C8251B2"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14.260</w:t>
            </w:r>
          </w:p>
        </w:tc>
        <w:tc>
          <w:tcPr>
            <w:tcW w:w="1586" w:type="dxa"/>
            <w:shd w:val="clear" w:color="auto" w:fill="auto"/>
            <w:noWrap/>
            <w:vAlign w:val="center"/>
            <w:hideMark/>
          </w:tcPr>
          <w:p w14:paraId="3E84EEDC"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-3%</w:t>
            </w:r>
          </w:p>
        </w:tc>
        <w:tc>
          <w:tcPr>
            <w:tcW w:w="1146" w:type="dxa"/>
            <w:shd w:val="clear" w:color="auto" w:fill="auto"/>
            <w:noWrap/>
            <w:vAlign w:val="center"/>
            <w:hideMark/>
          </w:tcPr>
          <w:p w14:paraId="0CCC358F"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24.896</w:t>
            </w:r>
          </w:p>
        </w:tc>
        <w:tc>
          <w:tcPr>
            <w:tcW w:w="954" w:type="dxa"/>
            <w:shd w:val="clear" w:color="auto" w:fill="auto"/>
            <w:noWrap/>
            <w:vAlign w:val="center"/>
            <w:hideMark/>
          </w:tcPr>
          <w:p w14:paraId="112F54F1" w14:textId="77777777" w:rsidR="00175285" w:rsidRPr="00175285" w:rsidRDefault="00175285" w:rsidP="00175285">
            <w:pPr>
              <w:spacing w:after="0" w:line="240" w:lineRule="auto"/>
              <w:jc w:val="right"/>
              <w:rPr>
                <w:rFonts w:ascii="Aptos Narrow" w:eastAsia="Times New Roman" w:hAnsi="Aptos Narrow" w:cs="Times New Roman"/>
                <w:color w:val="FF0000"/>
                <w:lang w:eastAsia="tr-TR"/>
              </w:rPr>
            </w:pPr>
            <w:r w:rsidRPr="00175285">
              <w:rPr>
                <w:rFonts w:ascii="Aptos Narrow" w:eastAsia="Times New Roman" w:hAnsi="Aptos Narrow" w:cs="Times New Roman"/>
                <w:color w:val="FF0000"/>
                <w:lang w:eastAsia="tr-TR"/>
              </w:rPr>
              <w:t>-2,47%</w:t>
            </w:r>
          </w:p>
        </w:tc>
      </w:tr>
      <w:tr w:rsidR="00175285" w:rsidRPr="00175285" w14:paraId="1B7B3276" w14:textId="77777777" w:rsidTr="00175285">
        <w:trPr>
          <w:trHeight w:val="310"/>
          <w:jc w:val="center"/>
        </w:trPr>
        <w:tc>
          <w:tcPr>
            <w:tcW w:w="952" w:type="dxa"/>
            <w:shd w:val="clear" w:color="auto" w:fill="auto"/>
            <w:noWrap/>
            <w:vAlign w:val="center"/>
            <w:hideMark/>
          </w:tcPr>
          <w:p w14:paraId="1B2DEB3C"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2017</w:t>
            </w:r>
          </w:p>
        </w:tc>
        <w:tc>
          <w:tcPr>
            <w:tcW w:w="1585" w:type="dxa"/>
            <w:shd w:val="clear" w:color="auto" w:fill="auto"/>
            <w:noWrap/>
            <w:vAlign w:val="center"/>
            <w:hideMark/>
          </w:tcPr>
          <w:p w14:paraId="4BA61644"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10.383</w:t>
            </w:r>
          </w:p>
        </w:tc>
        <w:tc>
          <w:tcPr>
            <w:tcW w:w="1667" w:type="dxa"/>
            <w:shd w:val="clear" w:color="auto" w:fill="auto"/>
            <w:noWrap/>
            <w:vAlign w:val="center"/>
            <w:hideMark/>
          </w:tcPr>
          <w:p w14:paraId="3DB114C2"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-2%</w:t>
            </w:r>
          </w:p>
        </w:tc>
        <w:tc>
          <w:tcPr>
            <w:tcW w:w="1584" w:type="dxa"/>
            <w:shd w:val="clear" w:color="auto" w:fill="auto"/>
            <w:noWrap/>
            <w:vAlign w:val="center"/>
            <w:hideMark/>
          </w:tcPr>
          <w:p w14:paraId="4D761916"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14.192</w:t>
            </w:r>
          </w:p>
        </w:tc>
        <w:tc>
          <w:tcPr>
            <w:tcW w:w="1586" w:type="dxa"/>
            <w:shd w:val="clear" w:color="auto" w:fill="auto"/>
            <w:noWrap/>
            <w:vAlign w:val="center"/>
            <w:hideMark/>
          </w:tcPr>
          <w:p w14:paraId="46AD4D30"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0%</w:t>
            </w:r>
          </w:p>
        </w:tc>
        <w:tc>
          <w:tcPr>
            <w:tcW w:w="1146" w:type="dxa"/>
            <w:shd w:val="clear" w:color="auto" w:fill="auto"/>
            <w:noWrap/>
            <w:vAlign w:val="center"/>
            <w:hideMark/>
          </w:tcPr>
          <w:p w14:paraId="01770F5F"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24.575</w:t>
            </w:r>
          </w:p>
        </w:tc>
        <w:tc>
          <w:tcPr>
            <w:tcW w:w="954" w:type="dxa"/>
            <w:shd w:val="clear" w:color="auto" w:fill="auto"/>
            <w:noWrap/>
            <w:vAlign w:val="center"/>
            <w:hideMark/>
          </w:tcPr>
          <w:p w14:paraId="4F955653" w14:textId="77777777" w:rsidR="00175285" w:rsidRPr="00175285" w:rsidRDefault="00175285" w:rsidP="00175285">
            <w:pPr>
              <w:spacing w:after="0" w:line="240" w:lineRule="auto"/>
              <w:jc w:val="right"/>
              <w:rPr>
                <w:rFonts w:ascii="Aptos Narrow" w:eastAsia="Times New Roman" w:hAnsi="Aptos Narrow" w:cs="Times New Roman"/>
                <w:color w:val="FF0000"/>
                <w:lang w:eastAsia="tr-TR"/>
              </w:rPr>
            </w:pPr>
            <w:r w:rsidRPr="00175285">
              <w:rPr>
                <w:rFonts w:ascii="Aptos Narrow" w:eastAsia="Times New Roman" w:hAnsi="Aptos Narrow" w:cs="Times New Roman"/>
                <w:color w:val="FF0000"/>
                <w:lang w:eastAsia="tr-TR"/>
              </w:rPr>
              <w:t>-1,29%</w:t>
            </w:r>
          </w:p>
        </w:tc>
      </w:tr>
      <w:tr w:rsidR="00175285" w:rsidRPr="00175285" w14:paraId="08DE3669" w14:textId="77777777" w:rsidTr="00175285">
        <w:trPr>
          <w:trHeight w:val="310"/>
          <w:jc w:val="center"/>
        </w:trPr>
        <w:tc>
          <w:tcPr>
            <w:tcW w:w="952" w:type="dxa"/>
            <w:shd w:val="clear" w:color="auto" w:fill="auto"/>
            <w:noWrap/>
            <w:vAlign w:val="center"/>
            <w:hideMark/>
          </w:tcPr>
          <w:p w14:paraId="604BAC7C"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2018</w:t>
            </w:r>
          </w:p>
        </w:tc>
        <w:tc>
          <w:tcPr>
            <w:tcW w:w="1585" w:type="dxa"/>
            <w:shd w:val="clear" w:color="auto" w:fill="auto"/>
            <w:noWrap/>
            <w:vAlign w:val="center"/>
            <w:hideMark/>
          </w:tcPr>
          <w:p w14:paraId="52250629"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7.561</w:t>
            </w:r>
          </w:p>
        </w:tc>
        <w:tc>
          <w:tcPr>
            <w:tcW w:w="1667" w:type="dxa"/>
            <w:shd w:val="clear" w:color="auto" w:fill="auto"/>
            <w:noWrap/>
            <w:vAlign w:val="center"/>
            <w:hideMark/>
          </w:tcPr>
          <w:p w14:paraId="716A290F"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-27%</w:t>
            </w:r>
          </w:p>
        </w:tc>
        <w:tc>
          <w:tcPr>
            <w:tcW w:w="1584" w:type="dxa"/>
            <w:shd w:val="clear" w:color="auto" w:fill="auto"/>
            <w:noWrap/>
            <w:vAlign w:val="center"/>
            <w:hideMark/>
          </w:tcPr>
          <w:p w14:paraId="10B6204F"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14.360</w:t>
            </w:r>
          </w:p>
        </w:tc>
        <w:tc>
          <w:tcPr>
            <w:tcW w:w="1586" w:type="dxa"/>
            <w:shd w:val="clear" w:color="auto" w:fill="auto"/>
            <w:noWrap/>
            <w:vAlign w:val="center"/>
            <w:hideMark/>
          </w:tcPr>
          <w:p w14:paraId="360233EB"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w:t>
            </w:r>
          </w:p>
        </w:tc>
        <w:tc>
          <w:tcPr>
            <w:tcW w:w="1146" w:type="dxa"/>
            <w:shd w:val="clear" w:color="auto" w:fill="auto"/>
            <w:noWrap/>
            <w:vAlign w:val="center"/>
            <w:hideMark/>
          </w:tcPr>
          <w:p w14:paraId="0D8E8136"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21.921</w:t>
            </w:r>
          </w:p>
        </w:tc>
        <w:tc>
          <w:tcPr>
            <w:tcW w:w="954" w:type="dxa"/>
            <w:shd w:val="clear" w:color="auto" w:fill="auto"/>
            <w:noWrap/>
            <w:vAlign w:val="center"/>
            <w:hideMark/>
          </w:tcPr>
          <w:p w14:paraId="2EFFA8FE" w14:textId="77777777" w:rsidR="00175285" w:rsidRPr="00175285" w:rsidRDefault="00175285" w:rsidP="00175285">
            <w:pPr>
              <w:spacing w:after="0" w:line="240" w:lineRule="auto"/>
              <w:jc w:val="right"/>
              <w:rPr>
                <w:rFonts w:ascii="Aptos Narrow" w:eastAsia="Times New Roman" w:hAnsi="Aptos Narrow" w:cs="Times New Roman"/>
                <w:color w:val="FF0000"/>
                <w:lang w:eastAsia="tr-TR"/>
              </w:rPr>
            </w:pPr>
            <w:r w:rsidRPr="00175285">
              <w:rPr>
                <w:rFonts w:ascii="Aptos Narrow" w:eastAsia="Times New Roman" w:hAnsi="Aptos Narrow" w:cs="Times New Roman"/>
                <w:color w:val="FF0000"/>
                <w:lang w:eastAsia="tr-TR"/>
              </w:rPr>
              <w:t>-10,80%</w:t>
            </w:r>
          </w:p>
        </w:tc>
      </w:tr>
      <w:tr w:rsidR="00175285" w:rsidRPr="00175285" w14:paraId="28B7D8BA" w14:textId="77777777" w:rsidTr="00175285">
        <w:trPr>
          <w:trHeight w:val="310"/>
          <w:jc w:val="center"/>
        </w:trPr>
        <w:tc>
          <w:tcPr>
            <w:tcW w:w="952" w:type="dxa"/>
            <w:shd w:val="clear" w:color="auto" w:fill="auto"/>
            <w:noWrap/>
            <w:vAlign w:val="center"/>
            <w:hideMark/>
          </w:tcPr>
          <w:p w14:paraId="4FDA0680"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2019</w:t>
            </w:r>
          </w:p>
        </w:tc>
        <w:tc>
          <w:tcPr>
            <w:tcW w:w="1585" w:type="dxa"/>
            <w:shd w:val="clear" w:color="auto" w:fill="auto"/>
            <w:noWrap/>
            <w:vAlign w:val="center"/>
            <w:hideMark/>
          </w:tcPr>
          <w:p w14:paraId="7A384AB7"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10.897</w:t>
            </w:r>
          </w:p>
        </w:tc>
        <w:tc>
          <w:tcPr>
            <w:tcW w:w="1667" w:type="dxa"/>
            <w:shd w:val="clear" w:color="auto" w:fill="auto"/>
            <w:noWrap/>
            <w:vAlign w:val="center"/>
            <w:hideMark/>
          </w:tcPr>
          <w:p w14:paraId="5C975619"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44%</w:t>
            </w:r>
          </w:p>
        </w:tc>
        <w:tc>
          <w:tcPr>
            <w:tcW w:w="1584" w:type="dxa"/>
            <w:shd w:val="clear" w:color="auto" w:fill="auto"/>
            <w:noWrap/>
            <w:vAlign w:val="center"/>
            <w:hideMark/>
          </w:tcPr>
          <w:p w14:paraId="34CEF498"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13.208</w:t>
            </w:r>
          </w:p>
        </w:tc>
        <w:tc>
          <w:tcPr>
            <w:tcW w:w="1586" w:type="dxa"/>
            <w:shd w:val="clear" w:color="auto" w:fill="auto"/>
            <w:noWrap/>
            <w:vAlign w:val="center"/>
            <w:hideMark/>
          </w:tcPr>
          <w:p w14:paraId="028A3A32"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-8%</w:t>
            </w:r>
          </w:p>
        </w:tc>
        <w:tc>
          <w:tcPr>
            <w:tcW w:w="1146" w:type="dxa"/>
            <w:shd w:val="clear" w:color="auto" w:fill="auto"/>
            <w:noWrap/>
            <w:vAlign w:val="center"/>
            <w:hideMark/>
          </w:tcPr>
          <w:p w14:paraId="0BE754E0"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24.105</w:t>
            </w:r>
          </w:p>
        </w:tc>
        <w:tc>
          <w:tcPr>
            <w:tcW w:w="954" w:type="dxa"/>
            <w:shd w:val="clear" w:color="auto" w:fill="auto"/>
            <w:noWrap/>
            <w:vAlign w:val="center"/>
            <w:hideMark/>
          </w:tcPr>
          <w:p w14:paraId="44AFDE82" w14:textId="77777777" w:rsidR="00175285" w:rsidRPr="00175285" w:rsidRDefault="00175285" w:rsidP="00175285">
            <w:pPr>
              <w:spacing w:after="0" w:line="240" w:lineRule="auto"/>
              <w:jc w:val="right"/>
              <w:rPr>
                <w:rFonts w:ascii="Aptos Narrow" w:eastAsia="Times New Roman" w:hAnsi="Aptos Narrow" w:cs="Times New Roman"/>
                <w:lang w:eastAsia="tr-TR"/>
              </w:rPr>
            </w:pPr>
            <w:r w:rsidRPr="00175285">
              <w:rPr>
                <w:rFonts w:ascii="Aptos Narrow" w:eastAsia="Times New Roman" w:hAnsi="Aptos Narrow" w:cs="Times New Roman"/>
                <w:lang w:eastAsia="tr-TR"/>
              </w:rPr>
              <w:t>9,97%</w:t>
            </w:r>
          </w:p>
        </w:tc>
      </w:tr>
      <w:tr w:rsidR="00175285" w:rsidRPr="00175285" w14:paraId="562D5AA1" w14:textId="77777777" w:rsidTr="00175285">
        <w:trPr>
          <w:trHeight w:val="310"/>
          <w:jc w:val="center"/>
        </w:trPr>
        <w:tc>
          <w:tcPr>
            <w:tcW w:w="952" w:type="dxa"/>
            <w:shd w:val="clear" w:color="auto" w:fill="auto"/>
            <w:noWrap/>
            <w:vAlign w:val="center"/>
            <w:hideMark/>
          </w:tcPr>
          <w:p w14:paraId="30021DB4"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2020</w:t>
            </w:r>
          </w:p>
        </w:tc>
        <w:tc>
          <w:tcPr>
            <w:tcW w:w="1585" w:type="dxa"/>
            <w:shd w:val="clear" w:color="auto" w:fill="auto"/>
            <w:noWrap/>
            <w:vAlign w:val="center"/>
            <w:hideMark/>
          </w:tcPr>
          <w:p w14:paraId="5C3A5CD4"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10.772</w:t>
            </w:r>
          </w:p>
        </w:tc>
        <w:tc>
          <w:tcPr>
            <w:tcW w:w="1667" w:type="dxa"/>
            <w:shd w:val="clear" w:color="auto" w:fill="auto"/>
            <w:noWrap/>
            <w:vAlign w:val="center"/>
            <w:hideMark/>
          </w:tcPr>
          <w:p w14:paraId="46081412"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-1%</w:t>
            </w:r>
          </w:p>
        </w:tc>
        <w:tc>
          <w:tcPr>
            <w:tcW w:w="1584" w:type="dxa"/>
            <w:shd w:val="clear" w:color="auto" w:fill="auto"/>
            <w:noWrap/>
            <w:vAlign w:val="center"/>
            <w:hideMark/>
          </w:tcPr>
          <w:p w14:paraId="3EF6D553"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11.682</w:t>
            </w:r>
          </w:p>
        </w:tc>
        <w:tc>
          <w:tcPr>
            <w:tcW w:w="1586" w:type="dxa"/>
            <w:shd w:val="clear" w:color="auto" w:fill="auto"/>
            <w:noWrap/>
            <w:vAlign w:val="center"/>
            <w:hideMark/>
          </w:tcPr>
          <w:p w14:paraId="1E62A261"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-12%</w:t>
            </w:r>
          </w:p>
        </w:tc>
        <w:tc>
          <w:tcPr>
            <w:tcW w:w="1146" w:type="dxa"/>
            <w:shd w:val="clear" w:color="auto" w:fill="auto"/>
            <w:noWrap/>
            <w:vAlign w:val="center"/>
            <w:hideMark/>
          </w:tcPr>
          <w:p w14:paraId="48FC12D1"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22.454</w:t>
            </w:r>
          </w:p>
        </w:tc>
        <w:tc>
          <w:tcPr>
            <w:tcW w:w="954" w:type="dxa"/>
            <w:shd w:val="clear" w:color="auto" w:fill="auto"/>
            <w:noWrap/>
            <w:vAlign w:val="center"/>
            <w:hideMark/>
          </w:tcPr>
          <w:p w14:paraId="096AC2E2" w14:textId="77777777" w:rsidR="00175285" w:rsidRPr="00175285" w:rsidRDefault="00175285" w:rsidP="00175285">
            <w:pPr>
              <w:spacing w:after="0" w:line="240" w:lineRule="auto"/>
              <w:jc w:val="right"/>
              <w:rPr>
                <w:rFonts w:ascii="Aptos Narrow" w:eastAsia="Times New Roman" w:hAnsi="Aptos Narrow" w:cs="Times New Roman"/>
                <w:color w:val="FF0000"/>
                <w:lang w:eastAsia="tr-TR"/>
              </w:rPr>
            </w:pPr>
            <w:r w:rsidRPr="00175285">
              <w:rPr>
                <w:rFonts w:ascii="Aptos Narrow" w:eastAsia="Times New Roman" w:hAnsi="Aptos Narrow" w:cs="Times New Roman"/>
                <w:color w:val="FF0000"/>
                <w:lang w:eastAsia="tr-TR"/>
              </w:rPr>
              <w:t>-6,85%</w:t>
            </w:r>
          </w:p>
        </w:tc>
      </w:tr>
      <w:tr w:rsidR="00175285" w:rsidRPr="00175285" w14:paraId="11C99B26" w14:textId="77777777" w:rsidTr="00175285">
        <w:trPr>
          <w:trHeight w:val="310"/>
          <w:jc w:val="center"/>
        </w:trPr>
        <w:tc>
          <w:tcPr>
            <w:tcW w:w="952" w:type="dxa"/>
            <w:shd w:val="clear" w:color="auto" w:fill="auto"/>
            <w:noWrap/>
            <w:vAlign w:val="center"/>
            <w:hideMark/>
          </w:tcPr>
          <w:p w14:paraId="24FABBEA"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2021</w:t>
            </w:r>
          </w:p>
        </w:tc>
        <w:tc>
          <w:tcPr>
            <w:tcW w:w="1585" w:type="dxa"/>
            <w:shd w:val="clear" w:color="auto" w:fill="auto"/>
            <w:noWrap/>
            <w:vAlign w:val="center"/>
            <w:hideMark/>
          </w:tcPr>
          <w:p w14:paraId="4207C94A"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10.492</w:t>
            </w:r>
          </w:p>
        </w:tc>
        <w:tc>
          <w:tcPr>
            <w:tcW w:w="1667" w:type="dxa"/>
            <w:shd w:val="clear" w:color="auto" w:fill="auto"/>
            <w:noWrap/>
            <w:vAlign w:val="center"/>
            <w:hideMark/>
          </w:tcPr>
          <w:p w14:paraId="3FC1E816"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-3%</w:t>
            </w:r>
          </w:p>
        </w:tc>
        <w:tc>
          <w:tcPr>
            <w:tcW w:w="1584" w:type="dxa"/>
            <w:shd w:val="clear" w:color="auto" w:fill="auto"/>
            <w:noWrap/>
            <w:vAlign w:val="center"/>
            <w:hideMark/>
          </w:tcPr>
          <w:p w14:paraId="0CF1636B"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11.238</w:t>
            </w:r>
          </w:p>
        </w:tc>
        <w:tc>
          <w:tcPr>
            <w:tcW w:w="1586" w:type="dxa"/>
            <w:shd w:val="clear" w:color="auto" w:fill="auto"/>
            <w:noWrap/>
            <w:vAlign w:val="center"/>
            <w:hideMark/>
          </w:tcPr>
          <w:p w14:paraId="237FC807"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-4%</w:t>
            </w:r>
          </w:p>
        </w:tc>
        <w:tc>
          <w:tcPr>
            <w:tcW w:w="1146" w:type="dxa"/>
            <w:shd w:val="clear" w:color="auto" w:fill="auto"/>
            <w:noWrap/>
            <w:vAlign w:val="center"/>
            <w:hideMark/>
          </w:tcPr>
          <w:p w14:paraId="78298B4F"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21.730</w:t>
            </w:r>
          </w:p>
        </w:tc>
        <w:tc>
          <w:tcPr>
            <w:tcW w:w="954" w:type="dxa"/>
            <w:shd w:val="clear" w:color="auto" w:fill="auto"/>
            <w:noWrap/>
            <w:vAlign w:val="center"/>
            <w:hideMark/>
          </w:tcPr>
          <w:p w14:paraId="6CD23C93" w14:textId="77777777" w:rsidR="00175285" w:rsidRPr="00175285" w:rsidRDefault="00175285" w:rsidP="00175285">
            <w:pPr>
              <w:spacing w:after="0" w:line="240" w:lineRule="auto"/>
              <w:jc w:val="right"/>
              <w:rPr>
                <w:rFonts w:ascii="Aptos Narrow" w:eastAsia="Times New Roman" w:hAnsi="Aptos Narrow" w:cs="Times New Roman"/>
                <w:color w:val="FF0000"/>
                <w:lang w:eastAsia="tr-TR"/>
              </w:rPr>
            </w:pPr>
            <w:r w:rsidRPr="00175285">
              <w:rPr>
                <w:rFonts w:ascii="Aptos Narrow" w:eastAsia="Times New Roman" w:hAnsi="Aptos Narrow" w:cs="Times New Roman"/>
                <w:color w:val="FF0000"/>
                <w:lang w:eastAsia="tr-TR"/>
              </w:rPr>
              <w:t>-3,22%</w:t>
            </w:r>
          </w:p>
        </w:tc>
      </w:tr>
      <w:tr w:rsidR="00175285" w:rsidRPr="00175285" w14:paraId="1F1AFB24" w14:textId="77777777" w:rsidTr="00175285">
        <w:trPr>
          <w:trHeight w:val="310"/>
          <w:jc w:val="center"/>
        </w:trPr>
        <w:tc>
          <w:tcPr>
            <w:tcW w:w="952" w:type="dxa"/>
            <w:shd w:val="clear" w:color="auto" w:fill="auto"/>
            <w:noWrap/>
            <w:vAlign w:val="center"/>
            <w:hideMark/>
          </w:tcPr>
          <w:p w14:paraId="7E51C656"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2022</w:t>
            </w:r>
          </w:p>
        </w:tc>
        <w:tc>
          <w:tcPr>
            <w:tcW w:w="1585" w:type="dxa"/>
            <w:shd w:val="clear" w:color="auto" w:fill="auto"/>
            <w:noWrap/>
            <w:vAlign w:val="center"/>
            <w:hideMark/>
          </w:tcPr>
          <w:p w14:paraId="2232C0AA"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9.776</w:t>
            </w:r>
          </w:p>
        </w:tc>
        <w:tc>
          <w:tcPr>
            <w:tcW w:w="1667" w:type="dxa"/>
            <w:shd w:val="clear" w:color="auto" w:fill="auto"/>
            <w:noWrap/>
            <w:vAlign w:val="center"/>
            <w:hideMark/>
          </w:tcPr>
          <w:p w14:paraId="1015F122"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-7%</w:t>
            </w:r>
          </w:p>
        </w:tc>
        <w:tc>
          <w:tcPr>
            <w:tcW w:w="1584" w:type="dxa"/>
            <w:shd w:val="clear" w:color="auto" w:fill="auto"/>
            <w:noWrap/>
            <w:vAlign w:val="center"/>
            <w:hideMark/>
          </w:tcPr>
          <w:p w14:paraId="34D061BF"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12.658</w:t>
            </w:r>
          </w:p>
        </w:tc>
        <w:tc>
          <w:tcPr>
            <w:tcW w:w="1586" w:type="dxa"/>
            <w:shd w:val="clear" w:color="auto" w:fill="auto"/>
            <w:noWrap/>
            <w:vAlign w:val="center"/>
            <w:hideMark/>
          </w:tcPr>
          <w:p w14:paraId="39429F4C"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13%</w:t>
            </w:r>
          </w:p>
        </w:tc>
        <w:tc>
          <w:tcPr>
            <w:tcW w:w="1146" w:type="dxa"/>
            <w:shd w:val="clear" w:color="auto" w:fill="auto"/>
            <w:noWrap/>
            <w:vAlign w:val="center"/>
            <w:hideMark/>
          </w:tcPr>
          <w:p w14:paraId="4BE60851"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22.434</w:t>
            </w:r>
          </w:p>
        </w:tc>
        <w:tc>
          <w:tcPr>
            <w:tcW w:w="954" w:type="dxa"/>
            <w:shd w:val="clear" w:color="auto" w:fill="auto"/>
            <w:noWrap/>
            <w:vAlign w:val="center"/>
            <w:hideMark/>
          </w:tcPr>
          <w:p w14:paraId="52D9DFDF" w14:textId="77777777" w:rsidR="00175285" w:rsidRPr="00175285" w:rsidRDefault="00175285" w:rsidP="00175285">
            <w:pPr>
              <w:spacing w:after="0" w:line="240" w:lineRule="auto"/>
              <w:jc w:val="right"/>
              <w:rPr>
                <w:rFonts w:ascii="Aptos Narrow" w:eastAsia="Times New Roman" w:hAnsi="Aptos Narrow" w:cs="Times New Roman"/>
                <w:lang w:eastAsia="tr-TR"/>
              </w:rPr>
            </w:pPr>
            <w:r w:rsidRPr="00175285">
              <w:rPr>
                <w:rFonts w:ascii="Aptos Narrow" w:eastAsia="Times New Roman" w:hAnsi="Aptos Narrow" w:cs="Times New Roman"/>
                <w:lang w:eastAsia="tr-TR"/>
              </w:rPr>
              <w:t>3,24%</w:t>
            </w:r>
          </w:p>
        </w:tc>
      </w:tr>
      <w:tr w:rsidR="00175285" w:rsidRPr="00175285" w14:paraId="69A5A313" w14:textId="77777777" w:rsidTr="00175285">
        <w:trPr>
          <w:trHeight w:val="310"/>
          <w:jc w:val="center"/>
        </w:trPr>
        <w:tc>
          <w:tcPr>
            <w:tcW w:w="952" w:type="dxa"/>
            <w:shd w:val="clear" w:color="auto" w:fill="auto"/>
            <w:noWrap/>
            <w:vAlign w:val="center"/>
            <w:hideMark/>
          </w:tcPr>
          <w:p w14:paraId="69214754"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2023</w:t>
            </w:r>
          </w:p>
        </w:tc>
        <w:tc>
          <w:tcPr>
            <w:tcW w:w="1585" w:type="dxa"/>
            <w:shd w:val="clear" w:color="auto" w:fill="auto"/>
            <w:noWrap/>
            <w:vAlign w:val="center"/>
            <w:hideMark/>
          </w:tcPr>
          <w:p w14:paraId="3CBA44A5"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2.168</w:t>
            </w:r>
          </w:p>
        </w:tc>
        <w:tc>
          <w:tcPr>
            <w:tcW w:w="1667" w:type="dxa"/>
            <w:shd w:val="clear" w:color="auto" w:fill="auto"/>
            <w:noWrap/>
            <w:vAlign w:val="center"/>
            <w:hideMark/>
          </w:tcPr>
          <w:p w14:paraId="50E853B1"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-78%</w:t>
            </w:r>
          </w:p>
        </w:tc>
        <w:tc>
          <w:tcPr>
            <w:tcW w:w="1584" w:type="dxa"/>
            <w:shd w:val="clear" w:color="auto" w:fill="auto"/>
            <w:noWrap/>
            <w:vAlign w:val="center"/>
            <w:hideMark/>
          </w:tcPr>
          <w:p w14:paraId="7BDFA0C3"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12.847</w:t>
            </w:r>
          </w:p>
        </w:tc>
        <w:tc>
          <w:tcPr>
            <w:tcW w:w="1586" w:type="dxa"/>
            <w:shd w:val="clear" w:color="auto" w:fill="auto"/>
            <w:noWrap/>
            <w:vAlign w:val="center"/>
            <w:hideMark/>
          </w:tcPr>
          <w:p w14:paraId="4D275585"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w:t>
            </w:r>
          </w:p>
        </w:tc>
        <w:tc>
          <w:tcPr>
            <w:tcW w:w="1146" w:type="dxa"/>
            <w:shd w:val="clear" w:color="auto" w:fill="auto"/>
            <w:noWrap/>
            <w:vAlign w:val="center"/>
            <w:hideMark/>
          </w:tcPr>
          <w:p w14:paraId="7908B2BE"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15.014</w:t>
            </w:r>
          </w:p>
        </w:tc>
        <w:tc>
          <w:tcPr>
            <w:tcW w:w="954" w:type="dxa"/>
            <w:shd w:val="clear" w:color="auto" w:fill="auto"/>
            <w:noWrap/>
            <w:vAlign w:val="center"/>
            <w:hideMark/>
          </w:tcPr>
          <w:p w14:paraId="5DBE24A6" w14:textId="77777777" w:rsidR="00175285" w:rsidRPr="00175285" w:rsidRDefault="00175285" w:rsidP="00175285">
            <w:pPr>
              <w:spacing w:after="0" w:line="240" w:lineRule="auto"/>
              <w:jc w:val="right"/>
              <w:rPr>
                <w:rFonts w:ascii="Aptos Narrow" w:eastAsia="Times New Roman" w:hAnsi="Aptos Narrow" w:cs="Times New Roman"/>
                <w:color w:val="FF0000"/>
                <w:lang w:eastAsia="tr-TR"/>
              </w:rPr>
            </w:pPr>
            <w:r w:rsidRPr="00175285">
              <w:rPr>
                <w:rFonts w:ascii="Aptos Narrow" w:eastAsia="Times New Roman" w:hAnsi="Aptos Narrow" w:cs="Times New Roman"/>
                <w:color w:val="FF0000"/>
                <w:lang w:eastAsia="tr-TR"/>
              </w:rPr>
              <w:t>-33,07%</w:t>
            </w:r>
          </w:p>
        </w:tc>
      </w:tr>
      <w:tr w:rsidR="00175285" w:rsidRPr="00175285" w14:paraId="138EF3A6" w14:textId="77777777" w:rsidTr="00175285">
        <w:trPr>
          <w:trHeight w:val="310"/>
          <w:jc w:val="center"/>
        </w:trPr>
        <w:tc>
          <w:tcPr>
            <w:tcW w:w="952" w:type="dxa"/>
            <w:shd w:val="clear" w:color="auto" w:fill="auto"/>
            <w:noWrap/>
            <w:vAlign w:val="center"/>
            <w:hideMark/>
          </w:tcPr>
          <w:p w14:paraId="126E035F" w14:textId="77777777" w:rsidR="00175285" w:rsidRPr="00175285" w:rsidRDefault="00175285" w:rsidP="00175285">
            <w:pPr>
              <w:spacing w:after="0" w:line="240" w:lineRule="auto"/>
              <w:jc w:val="center"/>
              <w:rPr>
                <w:rFonts w:ascii="Aptos" w:eastAsia="Times New Roman" w:hAnsi="Aptos" w:cs="Times New Roman"/>
                <w:color w:val="000000"/>
                <w:lang w:eastAsia="tr-TR"/>
              </w:rPr>
            </w:pPr>
            <w:r w:rsidRPr="00175285">
              <w:rPr>
                <w:rFonts w:ascii="Aptos" w:eastAsia="Times New Roman" w:hAnsi="Aptos" w:cs="Times New Roman"/>
                <w:color w:val="000000"/>
                <w:lang w:eastAsia="tr-TR"/>
              </w:rPr>
              <w:t>2024*</w:t>
            </w:r>
          </w:p>
        </w:tc>
        <w:tc>
          <w:tcPr>
            <w:tcW w:w="1585" w:type="dxa"/>
            <w:shd w:val="clear" w:color="auto" w:fill="auto"/>
            <w:noWrap/>
            <w:vAlign w:val="center"/>
            <w:hideMark/>
          </w:tcPr>
          <w:p w14:paraId="21840378"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2</w:t>
            </w:r>
          </w:p>
        </w:tc>
        <w:tc>
          <w:tcPr>
            <w:tcW w:w="1667" w:type="dxa"/>
            <w:shd w:val="clear" w:color="auto" w:fill="auto"/>
            <w:noWrap/>
            <w:vAlign w:val="center"/>
            <w:hideMark/>
          </w:tcPr>
          <w:p w14:paraId="6085CFA9"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-100%</w:t>
            </w:r>
          </w:p>
        </w:tc>
        <w:tc>
          <w:tcPr>
            <w:tcW w:w="1584" w:type="dxa"/>
            <w:shd w:val="clear" w:color="auto" w:fill="auto"/>
            <w:noWrap/>
            <w:vAlign w:val="center"/>
            <w:hideMark/>
          </w:tcPr>
          <w:p w14:paraId="087C61A9" w14:textId="77777777" w:rsidR="00175285" w:rsidRPr="00175285" w:rsidRDefault="00175285" w:rsidP="00175285">
            <w:pPr>
              <w:spacing w:after="0" w:line="240" w:lineRule="auto"/>
              <w:jc w:val="right"/>
              <w:rPr>
                <w:rFonts w:ascii="Aptos" w:eastAsia="Times New Roman" w:hAnsi="Aptos" w:cs="Times New Roman"/>
                <w:color w:val="000000"/>
                <w:lang w:eastAsia="tr-TR"/>
              </w:rPr>
            </w:pPr>
            <w:r w:rsidRPr="00175285">
              <w:rPr>
                <w:rFonts w:ascii="Aptos" w:eastAsia="Times New Roman" w:hAnsi="Aptos" w:cs="Times New Roman"/>
                <w:color w:val="000000"/>
                <w:lang w:eastAsia="tr-TR"/>
              </w:rPr>
              <w:t>12.585</w:t>
            </w:r>
          </w:p>
        </w:tc>
        <w:tc>
          <w:tcPr>
            <w:tcW w:w="1586" w:type="dxa"/>
            <w:shd w:val="clear" w:color="auto" w:fill="auto"/>
            <w:noWrap/>
            <w:vAlign w:val="center"/>
            <w:hideMark/>
          </w:tcPr>
          <w:p w14:paraId="26BB4D03" w14:textId="77777777" w:rsidR="00175285" w:rsidRPr="00175285" w:rsidRDefault="00175285" w:rsidP="00175285">
            <w:pPr>
              <w:spacing w:after="0" w:line="240" w:lineRule="auto"/>
              <w:jc w:val="right"/>
              <w:rPr>
                <w:rFonts w:ascii="Aptos" w:eastAsia="Times New Roman" w:hAnsi="Aptos" w:cs="Times New Roman"/>
                <w:color w:val="FF0000"/>
                <w:lang w:eastAsia="tr-TR"/>
              </w:rPr>
            </w:pPr>
            <w:r w:rsidRPr="00175285">
              <w:rPr>
                <w:rFonts w:ascii="Aptos" w:eastAsia="Times New Roman" w:hAnsi="Aptos" w:cs="Times New Roman"/>
                <w:color w:val="FF0000"/>
                <w:lang w:eastAsia="tr-TR"/>
              </w:rPr>
              <w:t>-2%</w:t>
            </w:r>
          </w:p>
        </w:tc>
        <w:tc>
          <w:tcPr>
            <w:tcW w:w="1146" w:type="dxa"/>
            <w:shd w:val="clear" w:color="auto" w:fill="auto"/>
            <w:noWrap/>
            <w:vAlign w:val="center"/>
            <w:hideMark/>
          </w:tcPr>
          <w:p w14:paraId="7A8643E7"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12.586</w:t>
            </w:r>
          </w:p>
        </w:tc>
        <w:tc>
          <w:tcPr>
            <w:tcW w:w="954" w:type="dxa"/>
            <w:shd w:val="clear" w:color="auto" w:fill="auto"/>
            <w:noWrap/>
            <w:vAlign w:val="center"/>
            <w:hideMark/>
          </w:tcPr>
          <w:p w14:paraId="0BE7F0A1" w14:textId="77777777" w:rsidR="00175285" w:rsidRPr="00175285" w:rsidRDefault="00175285" w:rsidP="00175285">
            <w:pPr>
              <w:spacing w:after="0" w:line="240" w:lineRule="auto"/>
              <w:jc w:val="right"/>
              <w:rPr>
                <w:rFonts w:ascii="Aptos Narrow" w:eastAsia="Times New Roman" w:hAnsi="Aptos Narrow" w:cs="Times New Roman"/>
                <w:color w:val="FF0000"/>
                <w:lang w:eastAsia="tr-TR"/>
              </w:rPr>
            </w:pPr>
            <w:r w:rsidRPr="00175285">
              <w:rPr>
                <w:rFonts w:ascii="Aptos Narrow" w:eastAsia="Times New Roman" w:hAnsi="Aptos Narrow" w:cs="Times New Roman"/>
                <w:color w:val="FF0000"/>
                <w:lang w:eastAsia="tr-TR"/>
              </w:rPr>
              <w:t>-16,17%</w:t>
            </w:r>
          </w:p>
        </w:tc>
      </w:tr>
      <w:tr w:rsidR="00175285" w:rsidRPr="00175285" w14:paraId="1CB3E7CE" w14:textId="77777777" w:rsidTr="00175285">
        <w:trPr>
          <w:trHeight w:val="310"/>
          <w:jc w:val="center"/>
        </w:trPr>
        <w:tc>
          <w:tcPr>
            <w:tcW w:w="952" w:type="dxa"/>
            <w:shd w:val="clear" w:color="000000" w:fill="FAE2D5"/>
            <w:noWrap/>
            <w:vAlign w:val="center"/>
            <w:hideMark/>
          </w:tcPr>
          <w:p w14:paraId="6E25DAEE" w14:textId="77777777" w:rsidR="00175285" w:rsidRPr="00175285" w:rsidRDefault="00175285" w:rsidP="00175285">
            <w:pPr>
              <w:spacing w:after="0" w:line="240" w:lineRule="auto"/>
              <w:rPr>
                <w:rFonts w:ascii="Aptos Narrow" w:eastAsia="Times New Roman" w:hAnsi="Aptos Narrow" w:cs="Times New Roman"/>
                <w:b/>
                <w:bCs/>
                <w:color w:val="000000"/>
                <w:lang w:eastAsia="tr-TR"/>
              </w:rPr>
            </w:pPr>
            <w:r w:rsidRPr="00175285">
              <w:rPr>
                <w:rFonts w:ascii="Aptos Narrow" w:eastAsia="Times New Roman" w:hAnsi="Aptos Narrow" w:cs="Times New Roman"/>
                <w:b/>
                <w:bCs/>
                <w:color w:val="000000"/>
                <w:lang w:eastAsia="tr-TR"/>
              </w:rPr>
              <w:t>TOPLAM</w:t>
            </w:r>
          </w:p>
        </w:tc>
        <w:tc>
          <w:tcPr>
            <w:tcW w:w="1585" w:type="dxa"/>
            <w:shd w:val="clear" w:color="000000" w:fill="FAE2D5"/>
            <w:noWrap/>
            <w:vAlign w:val="center"/>
            <w:hideMark/>
          </w:tcPr>
          <w:p w14:paraId="3D4CBC12"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99.345</w:t>
            </w:r>
          </w:p>
        </w:tc>
        <w:tc>
          <w:tcPr>
            <w:tcW w:w="1667" w:type="dxa"/>
            <w:shd w:val="clear" w:color="000000" w:fill="FAE2D5"/>
            <w:noWrap/>
            <w:vAlign w:val="center"/>
            <w:hideMark/>
          </w:tcPr>
          <w:p w14:paraId="43D7CFB0"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 </w:t>
            </w:r>
          </w:p>
        </w:tc>
        <w:tc>
          <w:tcPr>
            <w:tcW w:w="1584" w:type="dxa"/>
            <w:shd w:val="clear" w:color="000000" w:fill="FAE2D5"/>
            <w:noWrap/>
            <w:vAlign w:val="center"/>
            <w:hideMark/>
          </w:tcPr>
          <w:p w14:paraId="494761E9"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174.458</w:t>
            </w:r>
          </w:p>
        </w:tc>
        <w:tc>
          <w:tcPr>
            <w:tcW w:w="1586" w:type="dxa"/>
            <w:shd w:val="clear" w:color="000000" w:fill="FAE2D5"/>
            <w:noWrap/>
            <w:vAlign w:val="center"/>
            <w:hideMark/>
          </w:tcPr>
          <w:p w14:paraId="528412B7"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 </w:t>
            </w:r>
          </w:p>
        </w:tc>
        <w:tc>
          <w:tcPr>
            <w:tcW w:w="1146" w:type="dxa"/>
            <w:shd w:val="clear" w:color="000000" w:fill="FAE2D5"/>
            <w:noWrap/>
            <w:vAlign w:val="center"/>
            <w:hideMark/>
          </w:tcPr>
          <w:p w14:paraId="2FCEE5FA" w14:textId="77777777" w:rsidR="00175285" w:rsidRPr="00175285" w:rsidRDefault="00175285" w:rsidP="00175285">
            <w:pPr>
              <w:spacing w:after="0" w:line="240" w:lineRule="auto"/>
              <w:jc w:val="right"/>
              <w:rPr>
                <w:rFonts w:ascii="Aptos" w:eastAsia="Times New Roman" w:hAnsi="Aptos" w:cs="Times New Roman"/>
                <w:b/>
                <w:bCs/>
                <w:color w:val="000000"/>
                <w:lang w:eastAsia="tr-TR"/>
              </w:rPr>
            </w:pPr>
            <w:r w:rsidRPr="00175285">
              <w:rPr>
                <w:rFonts w:ascii="Aptos" w:eastAsia="Times New Roman" w:hAnsi="Aptos" w:cs="Times New Roman"/>
                <w:b/>
                <w:bCs/>
                <w:color w:val="000000"/>
                <w:lang w:eastAsia="tr-TR"/>
              </w:rPr>
              <w:t>273.803</w:t>
            </w:r>
          </w:p>
        </w:tc>
        <w:tc>
          <w:tcPr>
            <w:tcW w:w="954" w:type="dxa"/>
            <w:shd w:val="clear" w:color="000000" w:fill="FAE2D5"/>
            <w:noWrap/>
            <w:vAlign w:val="center"/>
            <w:hideMark/>
          </w:tcPr>
          <w:p w14:paraId="2F596616" w14:textId="77777777" w:rsidR="00175285" w:rsidRPr="00175285" w:rsidRDefault="00175285" w:rsidP="00175285">
            <w:pPr>
              <w:spacing w:after="0" w:line="240" w:lineRule="auto"/>
              <w:jc w:val="right"/>
              <w:rPr>
                <w:rFonts w:ascii="Aptos Narrow" w:eastAsia="Times New Roman" w:hAnsi="Aptos Narrow" w:cs="Times New Roman"/>
                <w:color w:val="000000"/>
                <w:lang w:eastAsia="tr-TR"/>
              </w:rPr>
            </w:pPr>
            <w:r w:rsidRPr="00175285">
              <w:rPr>
                <w:rFonts w:ascii="Aptos Narrow" w:eastAsia="Times New Roman" w:hAnsi="Aptos Narrow" w:cs="Times New Roman"/>
                <w:color w:val="000000"/>
                <w:lang w:eastAsia="tr-TR"/>
              </w:rPr>
              <w:t> </w:t>
            </w:r>
          </w:p>
        </w:tc>
      </w:tr>
    </w:tbl>
    <w:p w14:paraId="25B6F6C8" w14:textId="1199CC58" w:rsidR="00175285" w:rsidRDefault="00B84450" w:rsidP="00B84450">
      <w:pPr>
        <w:pStyle w:val="ListeParagraf"/>
        <w:tabs>
          <w:tab w:val="left" w:pos="284"/>
        </w:tabs>
        <w:ind w:left="0"/>
        <w:rPr>
          <w:rFonts w:cstheme="minorHAnsi"/>
          <w:b/>
          <w:bCs/>
          <w:sz w:val="22"/>
          <w:szCs w:val="22"/>
        </w:rPr>
      </w:pPr>
      <w:r>
        <w:rPr>
          <w:rFonts w:ascii="Calibri" w:eastAsia="Times New Roman" w:hAnsi="Calibri" w:cs="Calibri"/>
          <w:i/>
          <w:iCs/>
          <w:color w:val="000000"/>
          <w:sz w:val="20"/>
          <w:szCs w:val="20"/>
          <w:lang w:eastAsia="tr-TR"/>
        </w:rPr>
        <w:t xml:space="preserve"> * Tonajlar </w:t>
      </w:r>
      <w:r w:rsidRPr="00D76FE5">
        <w:rPr>
          <w:rFonts w:ascii="Calibri" w:eastAsia="Times New Roman" w:hAnsi="Calibri" w:cs="Calibri"/>
          <w:i/>
          <w:iCs/>
          <w:color w:val="000000"/>
          <w:sz w:val="20"/>
          <w:szCs w:val="20"/>
          <w:lang w:eastAsia="tr-TR"/>
        </w:rPr>
        <w:t xml:space="preserve">2024 yılı </w:t>
      </w:r>
      <w:r>
        <w:rPr>
          <w:rFonts w:ascii="Calibri" w:eastAsia="Times New Roman" w:hAnsi="Calibri" w:cs="Calibri"/>
          <w:i/>
          <w:iCs/>
          <w:color w:val="000000"/>
          <w:sz w:val="20"/>
          <w:szCs w:val="20"/>
          <w:lang w:eastAsia="tr-TR"/>
        </w:rPr>
        <w:t xml:space="preserve">için </w:t>
      </w:r>
      <w:r w:rsidRPr="00D76FE5">
        <w:rPr>
          <w:rFonts w:ascii="Calibri" w:eastAsia="Times New Roman" w:hAnsi="Calibri" w:cs="Calibri"/>
          <w:i/>
          <w:iCs/>
          <w:color w:val="000000"/>
          <w:sz w:val="20"/>
          <w:szCs w:val="20"/>
          <w:lang w:eastAsia="tr-TR"/>
        </w:rPr>
        <w:t>Ocak-Aralık olarak 11 aylıktır.</w:t>
      </w:r>
    </w:p>
    <w:p w14:paraId="34B31906" w14:textId="4BE83CCA" w:rsidR="000D310F" w:rsidRDefault="000D310F" w:rsidP="000D310F">
      <w:pPr>
        <w:jc w:val="both"/>
        <w:rPr>
          <w:rFonts w:cstheme="minorHAnsi"/>
          <w:sz w:val="24"/>
          <w:szCs w:val="24"/>
        </w:rPr>
      </w:pPr>
      <w:r w:rsidRPr="00B97965">
        <w:rPr>
          <w:rFonts w:cstheme="minorHAnsi"/>
          <w:sz w:val="24"/>
          <w:szCs w:val="24"/>
        </w:rPr>
        <w:t>Aşağıdaki Tablo-</w:t>
      </w:r>
      <w:r w:rsidR="00E65D50">
        <w:rPr>
          <w:rFonts w:cstheme="minorHAnsi"/>
          <w:sz w:val="24"/>
          <w:szCs w:val="24"/>
        </w:rPr>
        <w:t>3</w:t>
      </w:r>
      <w:r w:rsidRPr="00B97965">
        <w:rPr>
          <w:rFonts w:cstheme="minorHAnsi"/>
          <w:sz w:val="24"/>
          <w:szCs w:val="24"/>
        </w:rPr>
        <w:t>’</w:t>
      </w:r>
      <w:r w:rsidR="00E65D50">
        <w:rPr>
          <w:rFonts w:cstheme="minorHAnsi"/>
          <w:sz w:val="24"/>
          <w:szCs w:val="24"/>
        </w:rPr>
        <w:t>t</w:t>
      </w:r>
      <w:r w:rsidRPr="00B97965">
        <w:rPr>
          <w:rFonts w:cstheme="minorHAnsi"/>
          <w:sz w:val="24"/>
          <w:szCs w:val="24"/>
        </w:rPr>
        <w:t xml:space="preserve">en de görüldüğü gibi hampetrol terminallerinde elleçlenen ürünün çok büyük bir ağırlığı </w:t>
      </w:r>
      <w:r w:rsidR="00D47577" w:rsidRPr="00B97965">
        <w:rPr>
          <w:rFonts w:cstheme="minorHAnsi"/>
          <w:sz w:val="24"/>
          <w:szCs w:val="24"/>
        </w:rPr>
        <w:t xml:space="preserve">Kerkük-Yumurtalık (BOTAŞ Ceyhan) ve Bakü-Tiflis-Ceyhan (BTC) </w:t>
      </w:r>
      <w:r w:rsidR="00D47577">
        <w:rPr>
          <w:rFonts w:cstheme="minorHAnsi"/>
          <w:sz w:val="24"/>
          <w:szCs w:val="24"/>
        </w:rPr>
        <w:t xml:space="preserve">boru hattı terminallerinden gerçekleştirilen </w:t>
      </w:r>
      <w:r w:rsidRPr="00B97965">
        <w:rPr>
          <w:rFonts w:cstheme="minorHAnsi"/>
          <w:sz w:val="24"/>
          <w:szCs w:val="24"/>
        </w:rPr>
        <w:t xml:space="preserve">Transit </w:t>
      </w:r>
      <w:r w:rsidR="00D47577">
        <w:rPr>
          <w:rFonts w:cstheme="minorHAnsi"/>
          <w:sz w:val="24"/>
          <w:szCs w:val="24"/>
        </w:rPr>
        <w:t xml:space="preserve">hampetrol </w:t>
      </w:r>
      <w:r w:rsidRPr="00B97965">
        <w:rPr>
          <w:rFonts w:cstheme="minorHAnsi"/>
          <w:sz w:val="24"/>
          <w:szCs w:val="24"/>
        </w:rPr>
        <w:t xml:space="preserve">yüklemelerdir. </w:t>
      </w:r>
      <w:r w:rsidR="00D47577">
        <w:rPr>
          <w:rFonts w:cstheme="minorHAnsi"/>
          <w:sz w:val="24"/>
          <w:szCs w:val="24"/>
        </w:rPr>
        <w:t xml:space="preserve">Tabloya baktığımızda </w:t>
      </w:r>
      <w:r w:rsidRPr="00B97965">
        <w:rPr>
          <w:rFonts w:cstheme="minorHAnsi"/>
          <w:sz w:val="24"/>
          <w:szCs w:val="24"/>
        </w:rPr>
        <w:t xml:space="preserve">2023 yılında %78 olan transitin payı 2024 yılında %69’a düşmüştür. Özelikle Kerkük-Yumurtalık hampetrol boru hattı yıllık 70,9 milyon ton olan kapasitesine karşılık olarak Irak’taki istikrarsızlık nedeniyle son derece verimsiz çalışmakta, özelikle Türkiye ve Irak arasındaki sorunlardan etkilenmektedir. 2022 yılında 9,8 milyon tona yakın hampetrol geçen bu boru hattı 2023 yılında 2,1 milyon tona düşmüş, 2024 yılında ise kapalı kalmıştır. Türkiye ile Irak arasında bu boru hattının yeniden faaliyete geçmesiyle ilgili görüşmeler sürmektedir. </w:t>
      </w:r>
    </w:p>
    <w:p w14:paraId="532EA998" w14:textId="77777777" w:rsidR="009C4515" w:rsidRDefault="009C4515" w:rsidP="000D310F">
      <w:pPr>
        <w:jc w:val="both"/>
        <w:rPr>
          <w:rFonts w:cstheme="minorHAnsi"/>
          <w:sz w:val="24"/>
          <w:szCs w:val="24"/>
        </w:rPr>
      </w:pPr>
    </w:p>
    <w:p w14:paraId="4F8C0C77" w14:textId="77777777" w:rsidR="009C4515" w:rsidRDefault="009C4515" w:rsidP="000D310F">
      <w:pPr>
        <w:jc w:val="both"/>
        <w:rPr>
          <w:rFonts w:cstheme="minorHAnsi"/>
          <w:sz w:val="24"/>
          <w:szCs w:val="24"/>
        </w:rPr>
      </w:pPr>
    </w:p>
    <w:p w14:paraId="40100DF8" w14:textId="77777777" w:rsidR="006C3668" w:rsidRPr="00B97965" w:rsidRDefault="006C3668" w:rsidP="000D310F">
      <w:pPr>
        <w:jc w:val="both"/>
        <w:rPr>
          <w:rFonts w:cstheme="minorHAnsi"/>
          <w:sz w:val="24"/>
          <w:szCs w:val="24"/>
        </w:rPr>
      </w:pPr>
    </w:p>
    <w:p w14:paraId="55D3BA7E" w14:textId="74B29BA4" w:rsidR="000D310F" w:rsidRPr="00B97965" w:rsidRDefault="000D310F" w:rsidP="000D310F">
      <w:pPr>
        <w:pStyle w:val="ListeParagraf"/>
        <w:tabs>
          <w:tab w:val="left" w:pos="284"/>
        </w:tabs>
        <w:ind w:left="0"/>
        <w:jc w:val="center"/>
        <w:rPr>
          <w:rFonts w:cstheme="minorHAnsi"/>
          <w:b/>
          <w:bCs/>
          <w:sz w:val="22"/>
          <w:szCs w:val="22"/>
        </w:rPr>
      </w:pPr>
      <w:r w:rsidRPr="00B97965">
        <w:rPr>
          <w:rFonts w:cstheme="minorHAnsi"/>
          <w:b/>
          <w:bCs/>
          <w:sz w:val="22"/>
          <w:szCs w:val="22"/>
          <w:u w:val="single"/>
        </w:rPr>
        <w:lastRenderedPageBreak/>
        <w:t>Tablo-</w:t>
      </w:r>
      <w:r w:rsidR="00E65D50">
        <w:rPr>
          <w:rFonts w:cstheme="minorHAnsi"/>
          <w:b/>
          <w:bCs/>
          <w:sz w:val="22"/>
          <w:szCs w:val="22"/>
          <w:u w:val="single"/>
        </w:rPr>
        <w:t>3</w:t>
      </w:r>
      <w:r w:rsidRPr="00B97965">
        <w:rPr>
          <w:rFonts w:cstheme="minorHAnsi"/>
          <w:b/>
          <w:bCs/>
          <w:sz w:val="22"/>
          <w:szCs w:val="22"/>
          <w:u w:val="single"/>
        </w:rPr>
        <w:t>:</w:t>
      </w:r>
      <w:r w:rsidRPr="00B97965">
        <w:rPr>
          <w:rFonts w:cstheme="minorHAnsi"/>
          <w:b/>
          <w:bCs/>
          <w:sz w:val="22"/>
          <w:szCs w:val="22"/>
        </w:rPr>
        <w:t xml:space="preserve"> Hampetrol Terminalleri Transit-İç Piyasa Tonajları ve Oranları (2023-2024*)</w:t>
      </w:r>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00"/>
        <w:gridCol w:w="1823"/>
        <w:gridCol w:w="708"/>
        <w:gridCol w:w="1843"/>
        <w:gridCol w:w="709"/>
      </w:tblGrid>
      <w:tr w:rsidR="000D310F" w:rsidRPr="00222A30" w14:paraId="1D473024" w14:textId="77777777" w:rsidTr="00B97965">
        <w:trPr>
          <w:trHeight w:val="514"/>
          <w:jc w:val="center"/>
        </w:trPr>
        <w:tc>
          <w:tcPr>
            <w:tcW w:w="2000" w:type="dxa"/>
            <w:noWrap/>
            <w:hideMark/>
          </w:tcPr>
          <w:p w14:paraId="36A66045" w14:textId="77777777" w:rsidR="000D310F" w:rsidRPr="00222A30" w:rsidRDefault="000D310F">
            <w:pPr>
              <w:jc w:val="center"/>
              <w:rPr>
                <w:rFonts w:cstheme="minorHAnsi"/>
              </w:rPr>
            </w:pPr>
          </w:p>
        </w:tc>
        <w:tc>
          <w:tcPr>
            <w:tcW w:w="1823" w:type="dxa"/>
            <w:shd w:val="clear" w:color="auto" w:fill="FFFF00"/>
            <w:noWrap/>
            <w:hideMark/>
          </w:tcPr>
          <w:p w14:paraId="27C81182" w14:textId="77777777" w:rsidR="000D310F" w:rsidRDefault="000D310F">
            <w:pPr>
              <w:jc w:val="center"/>
              <w:rPr>
                <w:rFonts w:ascii="Aptos" w:eastAsia="Times New Roman" w:hAnsi="Aptos" w:cs="Times New Roman"/>
                <w:b/>
                <w:bCs/>
                <w:color w:val="333333"/>
                <w:lang w:eastAsia="tr-TR"/>
              </w:rPr>
            </w:pPr>
            <w:r w:rsidRPr="002048E1">
              <w:rPr>
                <w:rFonts w:ascii="Aptos" w:eastAsia="Times New Roman" w:hAnsi="Aptos" w:cs="Times New Roman"/>
                <w:b/>
                <w:bCs/>
                <w:color w:val="333333"/>
                <w:lang w:eastAsia="tr-TR"/>
              </w:rPr>
              <w:t>2023 Yılı</w:t>
            </w:r>
            <w:r>
              <w:rPr>
                <w:rFonts w:ascii="Aptos" w:eastAsia="Times New Roman" w:hAnsi="Aptos" w:cs="Times New Roman"/>
                <w:b/>
                <w:bCs/>
                <w:color w:val="333333"/>
                <w:lang w:eastAsia="tr-TR"/>
              </w:rPr>
              <w:t xml:space="preserve"> </w:t>
            </w:r>
            <w:r w:rsidRPr="002048E1">
              <w:rPr>
                <w:rFonts w:ascii="Aptos" w:eastAsia="Times New Roman" w:hAnsi="Aptos" w:cs="Times New Roman"/>
                <w:b/>
                <w:bCs/>
                <w:color w:val="333333"/>
                <w:lang w:eastAsia="tr-TR"/>
              </w:rPr>
              <w:t>Tonajı</w:t>
            </w:r>
          </w:p>
          <w:p w14:paraId="415464EB" w14:textId="77777777" w:rsidR="000D310F" w:rsidRPr="00222A30" w:rsidRDefault="000D310F">
            <w:pPr>
              <w:jc w:val="center"/>
              <w:rPr>
                <w:rFonts w:cstheme="minorHAnsi"/>
              </w:rPr>
            </w:pPr>
            <w:r w:rsidRPr="002048E1">
              <w:rPr>
                <w:rFonts w:ascii="Aptos" w:eastAsia="Times New Roman" w:hAnsi="Aptos" w:cs="Times New Roman"/>
                <w:b/>
                <w:bCs/>
                <w:color w:val="333333"/>
                <w:lang w:eastAsia="tr-TR"/>
              </w:rPr>
              <w:t>(milyon Ton)</w:t>
            </w:r>
          </w:p>
        </w:tc>
        <w:tc>
          <w:tcPr>
            <w:tcW w:w="708" w:type="dxa"/>
            <w:shd w:val="clear" w:color="auto" w:fill="FFFF00"/>
            <w:noWrap/>
            <w:hideMark/>
          </w:tcPr>
          <w:p w14:paraId="5DB06A27" w14:textId="77777777" w:rsidR="000D310F" w:rsidRPr="002048E1" w:rsidRDefault="000D310F">
            <w:pPr>
              <w:jc w:val="center"/>
              <w:rPr>
                <w:rFonts w:cstheme="minorHAnsi"/>
                <w:b/>
                <w:bCs/>
              </w:rPr>
            </w:pPr>
            <w:r w:rsidRPr="002048E1">
              <w:rPr>
                <w:rFonts w:cstheme="minorHAnsi"/>
                <w:b/>
                <w:bCs/>
              </w:rPr>
              <w:t>Payı</w:t>
            </w:r>
          </w:p>
        </w:tc>
        <w:tc>
          <w:tcPr>
            <w:tcW w:w="1843" w:type="dxa"/>
            <w:shd w:val="clear" w:color="auto" w:fill="FFFF00"/>
            <w:noWrap/>
            <w:hideMark/>
          </w:tcPr>
          <w:p w14:paraId="53E551C1" w14:textId="77777777" w:rsidR="000D310F" w:rsidRPr="002048E1" w:rsidRDefault="000D310F">
            <w:pPr>
              <w:jc w:val="center"/>
              <w:rPr>
                <w:rFonts w:ascii="Aptos" w:eastAsia="Times New Roman" w:hAnsi="Aptos" w:cs="Times New Roman"/>
                <w:b/>
                <w:bCs/>
                <w:color w:val="333333"/>
                <w:lang w:eastAsia="tr-TR"/>
              </w:rPr>
            </w:pPr>
            <w:r w:rsidRPr="002048E1">
              <w:rPr>
                <w:rFonts w:ascii="Aptos" w:eastAsia="Times New Roman" w:hAnsi="Aptos" w:cs="Times New Roman"/>
                <w:b/>
                <w:bCs/>
                <w:color w:val="333333"/>
                <w:lang w:eastAsia="tr-TR"/>
              </w:rPr>
              <w:t>2024 Yılı Tonajı (milyon Ton)</w:t>
            </w:r>
          </w:p>
        </w:tc>
        <w:tc>
          <w:tcPr>
            <w:tcW w:w="709" w:type="dxa"/>
            <w:shd w:val="clear" w:color="auto" w:fill="FFFF00"/>
            <w:noWrap/>
            <w:hideMark/>
          </w:tcPr>
          <w:p w14:paraId="1F7E2F0F" w14:textId="77777777" w:rsidR="000D310F" w:rsidRPr="002048E1" w:rsidRDefault="000D310F">
            <w:pPr>
              <w:jc w:val="center"/>
              <w:rPr>
                <w:rFonts w:ascii="Aptos" w:eastAsia="Times New Roman" w:hAnsi="Aptos" w:cs="Times New Roman"/>
                <w:b/>
                <w:bCs/>
                <w:color w:val="333333"/>
                <w:lang w:eastAsia="tr-TR"/>
              </w:rPr>
            </w:pPr>
            <w:r w:rsidRPr="002048E1">
              <w:rPr>
                <w:rFonts w:ascii="Aptos" w:eastAsia="Times New Roman" w:hAnsi="Aptos" w:cs="Times New Roman"/>
                <w:b/>
                <w:bCs/>
                <w:color w:val="333333"/>
                <w:lang w:eastAsia="tr-TR"/>
              </w:rPr>
              <w:t>Payı</w:t>
            </w:r>
          </w:p>
          <w:p w14:paraId="46E0130A" w14:textId="77777777" w:rsidR="000D310F" w:rsidRPr="002048E1" w:rsidRDefault="000D310F">
            <w:pPr>
              <w:jc w:val="center"/>
              <w:rPr>
                <w:rFonts w:ascii="Aptos" w:eastAsia="Times New Roman" w:hAnsi="Aptos" w:cs="Times New Roman"/>
                <w:b/>
                <w:bCs/>
                <w:color w:val="333333"/>
                <w:lang w:eastAsia="tr-TR"/>
              </w:rPr>
            </w:pPr>
          </w:p>
        </w:tc>
      </w:tr>
      <w:tr w:rsidR="000D310F" w:rsidRPr="00222A30" w14:paraId="63E8D62B" w14:textId="77777777" w:rsidTr="00B97965">
        <w:trPr>
          <w:trHeight w:val="300"/>
          <w:jc w:val="center"/>
        </w:trPr>
        <w:tc>
          <w:tcPr>
            <w:tcW w:w="2000" w:type="dxa"/>
            <w:noWrap/>
            <w:hideMark/>
          </w:tcPr>
          <w:p w14:paraId="4F0E8FD2" w14:textId="6676DEA9" w:rsidR="000D310F" w:rsidRPr="00024753" w:rsidRDefault="000D310F">
            <w:pPr>
              <w:jc w:val="both"/>
              <w:rPr>
                <w:rFonts w:cstheme="minorHAnsi"/>
                <w:b/>
                <w:bCs/>
              </w:rPr>
            </w:pPr>
            <w:r w:rsidRPr="00024753">
              <w:rPr>
                <w:rFonts w:cstheme="minorHAnsi"/>
                <w:b/>
                <w:bCs/>
              </w:rPr>
              <w:t>Transit</w:t>
            </w:r>
            <w:r w:rsidR="00D47577">
              <w:rPr>
                <w:rFonts w:cstheme="minorHAnsi"/>
                <w:b/>
                <w:bCs/>
              </w:rPr>
              <w:t xml:space="preserve"> </w:t>
            </w:r>
          </w:p>
        </w:tc>
        <w:tc>
          <w:tcPr>
            <w:tcW w:w="1823" w:type="dxa"/>
            <w:noWrap/>
            <w:hideMark/>
          </w:tcPr>
          <w:p w14:paraId="7CB054B6" w14:textId="77777777" w:rsidR="000D310F" w:rsidRPr="00222A30" w:rsidRDefault="000D310F">
            <w:pPr>
              <w:jc w:val="right"/>
              <w:rPr>
                <w:rFonts w:cstheme="minorHAnsi"/>
              </w:rPr>
            </w:pPr>
            <w:r w:rsidRPr="00222A30">
              <w:rPr>
                <w:rFonts w:cstheme="minorHAnsi"/>
              </w:rPr>
              <w:t>15.014</w:t>
            </w:r>
          </w:p>
        </w:tc>
        <w:tc>
          <w:tcPr>
            <w:tcW w:w="708" w:type="dxa"/>
            <w:noWrap/>
            <w:hideMark/>
          </w:tcPr>
          <w:p w14:paraId="13AEB9C3" w14:textId="77777777" w:rsidR="000D310F" w:rsidRPr="00222A30" w:rsidRDefault="000D310F">
            <w:pPr>
              <w:jc w:val="right"/>
              <w:rPr>
                <w:rFonts w:cstheme="minorHAnsi"/>
              </w:rPr>
            </w:pPr>
            <w:r w:rsidRPr="00222A30">
              <w:rPr>
                <w:rFonts w:cstheme="minorHAnsi"/>
              </w:rPr>
              <w:t>78%</w:t>
            </w:r>
          </w:p>
        </w:tc>
        <w:tc>
          <w:tcPr>
            <w:tcW w:w="1843" w:type="dxa"/>
            <w:noWrap/>
            <w:hideMark/>
          </w:tcPr>
          <w:p w14:paraId="31193A31" w14:textId="77777777" w:rsidR="000D310F" w:rsidRPr="00222A30" w:rsidRDefault="000D310F">
            <w:pPr>
              <w:jc w:val="right"/>
              <w:rPr>
                <w:rFonts w:cstheme="minorHAnsi"/>
              </w:rPr>
            </w:pPr>
            <w:r w:rsidRPr="00222A30">
              <w:rPr>
                <w:rFonts w:cstheme="minorHAnsi"/>
              </w:rPr>
              <w:t>12.586</w:t>
            </w:r>
          </w:p>
        </w:tc>
        <w:tc>
          <w:tcPr>
            <w:tcW w:w="709" w:type="dxa"/>
            <w:noWrap/>
            <w:hideMark/>
          </w:tcPr>
          <w:p w14:paraId="2FDA472A" w14:textId="77777777" w:rsidR="000D310F" w:rsidRPr="00222A30" w:rsidRDefault="000D310F">
            <w:pPr>
              <w:jc w:val="right"/>
              <w:rPr>
                <w:rFonts w:cstheme="minorHAnsi"/>
              </w:rPr>
            </w:pPr>
            <w:r w:rsidRPr="00222A30">
              <w:rPr>
                <w:rFonts w:cstheme="minorHAnsi"/>
              </w:rPr>
              <w:t>69%</w:t>
            </w:r>
          </w:p>
        </w:tc>
      </w:tr>
      <w:tr w:rsidR="000D310F" w:rsidRPr="00222A30" w14:paraId="02E46574" w14:textId="77777777" w:rsidTr="00B97965">
        <w:trPr>
          <w:trHeight w:val="290"/>
          <w:jc w:val="center"/>
        </w:trPr>
        <w:tc>
          <w:tcPr>
            <w:tcW w:w="2000" w:type="dxa"/>
            <w:noWrap/>
            <w:hideMark/>
          </w:tcPr>
          <w:p w14:paraId="766D2D7F" w14:textId="4B1A8C0F" w:rsidR="000D310F" w:rsidRPr="00024753" w:rsidRDefault="00E60129">
            <w:pPr>
              <w:jc w:val="both"/>
              <w:rPr>
                <w:rFonts w:cstheme="minorHAnsi"/>
                <w:b/>
                <w:bCs/>
              </w:rPr>
            </w:pPr>
            <w:r>
              <w:rPr>
                <w:rFonts w:cstheme="minorHAnsi"/>
                <w:b/>
                <w:bCs/>
              </w:rPr>
              <w:t>Mili</w:t>
            </w:r>
            <w:r w:rsidR="00D47577">
              <w:rPr>
                <w:rFonts w:cstheme="minorHAnsi"/>
                <w:b/>
                <w:bCs/>
              </w:rPr>
              <w:t>-</w:t>
            </w:r>
            <w:r w:rsidR="000D310F" w:rsidRPr="00024753">
              <w:rPr>
                <w:rFonts w:cstheme="minorHAnsi"/>
                <w:b/>
                <w:bCs/>
              </w:rPr>
              <w:t>İç Piyasa</w:t>
            </w:r>
          </w:p>
        </w:tc>
        <w:tc>
          <w:tcPr>
            <w:tcW w:w="1823" w:type="dxa"/>
            <w:noWrap/>
            <w:hideMark/>
          </w:tcPr>
          <w:p w14:paraId="55776755" w14:textId="77777777" w:rsidR="000D310F" w:rsidRPr="00222A30" w:rsidRDefault="000D310F">
            <w:pPr>
              <w:jc w:val="right"/>
              <w:rPr>
                <w:rFonts w:cstheme="minorHAnsi"/>
              </w:rPr>
            </w:pPr>
            <w:r w:rsidRPr="00222A30">
              <w:rPr>
                <w:rFonts w:cstheme="minorHAnsi"/>
              </w:rPr>
              <w:t>4.244</w:t>
            </w:r>
          </w:p>
        </w:tc>
        <w:tc>
          <w:tcPr>
            <w:tcW w:w="708" w:type="dxa"/>
            <w:noWrap/>
            <w:hideMark/>
          </w:tcPr>
          <w:p w14:paraId="60C40E01" w14:textId="77777777" w:rsidR="000D310F" w:rsidRPr="00222A30" w:rsidRDefault="000D310F">
            <w:pPr>
              <w:jc w:val="right"/>
              <w:rPr>
                <w:rFonts w:cstheme="minorHAnsi"/>
              </w:rPr>
            </w:pPr>
            <w:r w:rsidRPr="00222A30">
              <w:rPr>
                <w:rFonts w:cstheme="minorHAnsi"/>
              </w:rPr>
              <w:t>22%</w:t>
            </w:r>
          </w:p>
        </w:tc>
        <w:tc>
          <w:tcPr>
            <w:tcW w:w="1843" w:type="dxa"/>
            <w:noWrap/>
            <w:hideMark/>
          </w:tcPr>
          <w:p w14:paraId="5C5A2C4E" w14:textId="77777777" w:rsidR="000D310F" w:rsidRPr="00222A30" w:rsidRDefault="000D310F">
            <w:pPr>
              <w:jc w:val="right"/>
              <w:rPr>
                <w:rFonts w:cstheme="minorHAnsi"/>
              </w:rPr>
            </w:pPr>
            <w:r w:rsidRPr="00222A30">
              <w:rPr>
                <w:rFonts w:cstheme="minorHAnsi"/>
              </w:rPr>
              <w:t>5.726</w:t>
            </w:r>
          </w:p>
        </w:tc>
        <w:tc>
          <w:tcPr>
            <w:tcW w:w="709" w:type="dxa"/>
            <w:noWrap/>
            <w:hideMark/>
          </w:tcPr>
          <w:p w14:paraId="0A62946A" w14:textId="77777777" w:rsidR="000D310F" w:rsidRPr="00222A30" w:rsidRDefault="000D310F">
            <w:pPr>
              <w:jc w:val="right"/>
              <w:rPr>
                <w:rFonts w:cstheme="minorHAnsi"/>
              </w:rPr>
            </w:pPr>
            <w:r w:rsidRPr="00222A30">
              <w:rPr>
                <w:rFonts w:cstheme="minorHAnsi"/>
              </w:rPr>
              <w:t>31%</w:t>
            </w:r>
          </w:p>
        </w:tc>
      </w:tr>
      <w:tr w:rsidR="000D310F" w:rsidRPr="0027769D" w14:paraId="111397BD" w14:textId="77777777" w:rsidTr="00B97965">
        <w:trPr>
          <w:trHeight w:val="300"/>
          <w:jc w:val="center"/>
        </w:trPr>
        <w:tc>
          <w:tcPr>
            <w:tcW w:w="2000" w:type="dxa"/>
            <w:shd w:val="clear" w:color="auto" w:fill="FAE2D5" w:themeFill="accent2" w:themeFillTint="33"/>
            <w:noWrap/>
            <w:hideMark/>
          </w:tcPr>
          <w:p w14:paraId="0F14B66F" w14:textId="77777777" w:rsidR="000D310F" w:rsidRPr="0027769D" w:rsidRDefault="000D310F">
            <w:pPr>
              <w:jc w:val="both"/>
              <w:rPr>
                <w:rFonts w:cstheme="minorHAnsi"/>
                <w:b/>
                <w:bCs/>
              </w:rPr>
            </w:pPr>
            <w:r w:rsidRPr="0027769D">
              <w:rPr>
                <w:rFonts w:cstheme="minorHAnsi"/>
                <w:b/>
                <w:bCs/>
              </w:rPr>
              <w:t>Toplam</w:t>
            </w:r>
          </w:p>
        </w:tc>
        <w:tc>
          <w:tcPr>
            <w:tcW w:w="1823" w:type="dxa"/>
            <w:shd w:val="clear" w:color="auto" w:fill="FAE2D5" w:themeFill="accent2" w:themeFillTint="33"/>
            <w:noWrap/>
            <w:hideMark/>
          </w:tcPr>
          <w:p w14:paraId="28A78902" w14:textId="77777777" w:rsidR="000D310F" w:rsidRPr="0027769D" w:rsidRDefault="000D310F">
            <w:pPr>
              <w:jc w:val="right"/>
              <w:rPr>
                <w:rFonts w:cstheme="minorHAnsi"/>
                <w:b/>
                <w:bCs/>
              </w:rPr>
            </w:pPr>
            <w:r w:rsidRPr="0027769D">
              <w:rPr>
                <w:rFonts w:cstheme="minorHAnsi"/>
                <w:b/>
                <w:bCs/>
              </w:rPr>
              <w:t>19.258</w:t>
            </w:r>
          </w:p>
        </w:tc>
        <w:tc>
          <w:tcPr>
            <w:tcW w:w="708" w:type="dxa"/>
            <w:shd w:val="clear" w:color="auto" w:fill="FAE2D5" w:themeFill="accent2" w:themeFillTint="33"/>
            <w:noWrap/>
            <w:hideMark/>
          </w:tcPr>
          <w:p w14:paraId="3E3FE38C" w14:textId="77777777" w:rsidR="000D310F" w:rsidRPr="0027769D" w:rsidRDefault="000D310F">
            <w:pPr>
              <w:jc w:val="right"/>
              <w:rPr>
                <w:rFonts w:cstheme="minorHAnsi"/>
                <w:b/>
                <w:bCs/>
              </w:rPr>
            </w:pPr>
          </w:p>
        </w:tc>
        <w:tc>
          <w:tcPr>
            <w:tcW w:w="1843" w:type="dxa"/>
            <w:shd w:val="clear" w:color="auto" w:fill="FAE2D5" w:themeFill="accent2" w:themeFillTint="33"/>
            <w:noWrap/>
            <w:hideMark/>
          </w:tcPr>
          <w:p w14:paraId="34095930" w14:textId="77777777" w:rsidR="000D310F" w:rsidRPr="0027769D" w:rsidRDefault="000D310F">
            <w:pPr>
              <w:jc w:val="right"/>
              <w:rPr>
                <w:rFonts w:cstheme="minorHAnsi"/>
                <w:b/>
                <w:bCs/>
              </w:rPr>
            </w:pPr>
            <w:r w:rsidRPr="0027769D">
              <w:rPr>
                <w:rFonts w:cstheme="minorHAnsi"/>
                <w:b/>
                <w:bCs/>
              </w:rPr>
              <w:t>18.313</w:t>
            </w:r>
          </w:p>
        </w:tc>
        <w:tc>
          <w:tcPr>
            <w:tcW w:w="709" w:type="dxa"/>
            <w:shd w:val="clear" w:color="auto" w:fill="FAE2D5" w:themeFill="accent2" w:themeFillTint="33"/>
            <w:noWrap/>
            <w:hideMark/>
          </w:tcPr>
          <w:p w14:paraId="65AF4C6B" w14:textId="77777777" w:rsidR="000D310F" w:rsidRPr="0027769D" w:rsidRDefault="000D310F">
            <w:pPr>
              <w:jc w:val="right"/>
              <w:rPr>
                <w:rFonts w:cstheme="minorHAnsi"/>
                <w:b/>
                <w:bCs/>
              </w:rPr>
            </w:pPr>
          </w:p>
        </w:tc>
      </w:tr>
    </w:tbl>
    <w:p w14:paraId="37B0F298" w14:textId="0AE7DDDC" w:rsidR="000D310F" w:rsidRPr="00D76FE5" w:rsidRDefault="000D310F" w:rsidP="000D310F">
      <w:pPr>
        <w:pStyle w:val="ListeParagraf"/>
        <w:tabs>
          <w:tab w:val="left" w:pos="284"/>
        </w:tabs>
        <w:ind w:left="0"/>
        <w:jc w:val="both"/>
        <w:rPr>
          <w:rFonts w:ascii="Calibri" w:eastAsia="Times New Roman" w:hAnsi="Calibri" w:cs="Calibri"/>
          <w:i/>
          <w:iCs/>
          <w:color w:val="000000"/>
          <w:sz w:val="20"/>
          <w:szCs w:val="20"/>
          <w:lang w:eastAsia="tr-TR"/>
        </w:rPr>
      </w:pPr>
      <w:r>
        <w:rPr>
          <w:rFonts w:ascii="Calibri" w:eastAsia="Times New Roman" w:hAnsi="Calibri" w:cs="Calibri"/>
          <w:i/>
          <w:iCs/>
          <w:color w:val="000000"/>
          <w:sz w:val="20"/>
          <w:szCs w:val="20"/>
          <w:lang w:eastAsia="tr-TR"/>
        </w:rPr>
        <w:tab/>
      </w:r>
      <w:r>
        <w:rPr>
          <w:rFonts w:ascii="Calibri" w:eastAsia="Times New Roman" w:hAnsi="Calibri" w:cs="Calibri"/>
          <w:i/>
          <w:iCs/>
          <w:color w:val="000000"/>
          <w:sz w:val="20"/>
          <w:szCs w:val="20"/>
          <w:lang w:eastAsia="tr-TR"/>
        </w:rPr>
        <w:tab/>
        <w:t xml:space="preserve">          </w:t>
      </w:r>
      <w:r w:rsidRPr="00D76FE5">
        <w:rPr>
          <w:rFonts w:ascii="Calibri" w:eastAsia="Times New Roman" w:hAnsi="Calibri" w:cs="Calibri"/>
          <w:i/>
          <w:iCs/>
          <w:color w:val="000000"/>
          <w:sz w:val="20"/>
          <w:szCs w:val="20"/>
          <w:lang w:eastAsia="tr-TR"/>
        </w:rPr>
        <w:t xml:space="preserve">* </w:t>
      </w:r>
      <w:r w:rsidR="00516242">
        <w:rPr>
          <w:rFonts w:ascii="Calibri" w:eastAsia="Times New Roman" w:hAnsi="Calibri" w:cs="Calibri"/>
          <w:i/>
          <w:iCs/>
          <w:color w:val="000000"/>
          <w:sz w:val="20"/>
          <w:szCs w:val="20"/>
          <w:lang w:eastAsia="tr-TR"/>
        </w:rPr>
        <w:t xml:space="preserve">Tonajlar </w:t>
      </w:r>
      <w:r w:rsidRPr="00D76FE5">
        <w:rPr>
          <w:rFonts w:ascii="Calibri" w:eastAsia="Times New Roman" w:hAnsi="Calibri" w:cs="Calibri"/>
          <w:i/>
          <w:iCs/>
          <w:color w:val="000000"/>
          <w:sz w:val="20"/>
          <w:szCs w:val="20"/>
          <w:lang w:eastAsia="tr-TR"/>
        </w:rPr>
        <w:t xml:space="preserve">2024 yılı </w:t>
      </w:r>
      <w:r w:rsidR="00B84450">
        <w:rPr>
          <w:rFonts w:ascii="Calibri" w:eastAsia="Times New Roman" w:hAnsi="Calibri" w:cs="Calibri"/>
          <w:i/>
          <w:iCs/>
          <w:color w:val="000000"/>
          <w:sz w:val="20"/>
          <w:szCs w:val="20"/>
          <w:lang w:eastAsia="tr-TR"/>
        </w:rPr>
        <w:t xml:space="preserve">için </w:t>
      </w:r>
      <w:r w:rsidRPr="00D76FE5">
        <w:rPr>
          <w:rFonts w:ascii="Calibri" w:eastAsia="Times New Roman" w:hAnsi="Calibri" w:cs="Calibri"/>
          <w:i/>
          <w:iCs/>
          <w:color w:val="000000"/>
          <w:sz w:val="20"/>
          <w:szCs w:val="20"/>
          <w:lang w:eastAsia="tr-TR"/>
        </w:rPr>
        <w:t>Ocak-Aralık olarak 11 aylıktır.</w:t>
      </w:r>
    </w:p>
    <w:p w14:paraId="2C1F88E1" w14:textId="7A5C4C7B" w:rsidR="000D310F" w:rsidRPr="00B97965" w:rsidRDefault="000D310F" w:rsidP="000D310F">
      <w:pPr>
        <w:jc w:val="both"/>
        <w:rPr>
          <w:rFonts w:cstheme="minorHAnsi"/>
          <w:sz w:val="24"/>
          <w:szCs w:val="24"/>
        </w:rPr>
      </w:pPr>
      <w:r w:rsidRPr="00B97965">
        <w:rPr>
          <w:rFonts w:cstheme="minorHAnsi"/>
          <w:sz w:val="24"/>
          <w:szCs w:val="24"/>
        </w:rPr>
        <w:t>Tablo-</w:t>
      </w:r>
      <w:r w:rsidR="009C4515">
        <w:rPr>
          <w:rFonts w:cstheme="minorHAnsi"/>
          <w:sz w:val="24"/>
          <w:szCs w:val="24"/>
        </w:rPr>
        <w:t>4</w:t>
      </w:r>
      <w:r w:rsidRPr="00B97965">
        <w:rPr>
          <w:rFonts w:cstheme="minorHAnsi"/>
          <w:sz w:val="24"/>
          <w:szCs w:val="24"/>
        </w:rPr>
        <w:t>’</w:t>
      </w:r>
      <w:r w:rsidR="009C4515">
        <w:rPr>
          <w:rFonts w:cstheme="minorHAnsi"/>
          <w:sz w:val="24"/>
          <w:szCs w:val="24"/>
        </w:rPr>
        <w:t xml:space="preserve">ten de </w:t>
      </w:r>
      <w:r w:rsidRPr="00B97965">
        <w:rPr>
          <w:rFonts w:cstheme="minorHAnsi"/>
          <w:sz w:val="24"/>
          <w:szCs w:val="24"/>
        </w:rPr>
        <w:t xml:space="preserve">görüleceği üzere ilgili boru hatları içinde yıllık 50 milyon ton kapasiteye sahip olan Bakü-Tiflis-Ceyhan (BTC) boru hattı ise %25,7 oranında bir kapasiteyle çalışmaktadır. </w:t>
      </w:r>
      <w:r w:rsidR="001C382A" w:rsidRPr="00B97965">
        <w:rPr>
          <w:rFonts w:cstheme="minorHAnsi"/>
          <w:sz w:val="24"/>
          <w:szCs w:val="24"/>
        </w:rPr>
        <w:t xml:space="preserve">Kerkük-Yumurtalık (BOTAŞ Ceyhan) </w:t>
      </w:r>
      <w:r w:rsidR="001C382A">
        <w:rPr>
          <w:rFonts w:cstheme="minorHAnsi"/>
          <w:sz w:val="24"/>
          <w:szCs w:val="24"/>
        </w:rPr>
        <w:t>boru hattı</w:t>
      </w:r>
      <w:r w:rsidR="00CD2149">
        <w:rPr>
          <w:rFonts w:cstheme="minorHAnsi"/>
          <w:sz w:val="24"/>
          <w:szCs w:val="24"/>
        </w:rPr>
        <w:t>nın kapasite kullanımı</w:t>
      </w:r>
      <w:r w:rsidR="001C382A">
        <w:rPr>
          <w:rFonts w:cstheme="minorHAnsi"/>
          <w:sz w:val="24"/>
          <w:szCs w:val="24"/>
        </w:rPr>
        <w:t xml:space="preserve"> ise </w:t>
      </w:r>
      <w:r w:rsidR="00CD2149">
        <w:rPr>
          <w:rFonts w:cstheme="minorHAnsi"/>
          <w:sz w:val="24"/>
          <w:szCs w:val="24"/>
        </w:rPr>
        <w:t xml:space="preserve">2024 yılında %3,1’e düşmüştür. </w:t>
      </w:r>
      <w:r w:rsidRPr="00B97965">
        <w:rPr>
          <w:rFonts w:cstheme="minorHAnsi"/>
          <w:sz w:val="24"/>
          <w:szCs w:val="24"/>
        </w:rPr>
        <w:t>En yüksek kapasite kullanımı ise %35,6 ile Batman-Dörtyol arasında</w:t>
      </w:r>
      <w:r w:rsidR="00CD2149">
        <w:rPr>
          <w:rFonts w:cstheme="minorHAnsi"/>
          <w:sz w:val="24"/>
          <w:szCs w:val="24"/>
        </w:rPr>
        <w:t xml:space="preserve"> faaliyette olan </w:t>
      </w:r>
      <w:r w:rsidRPr="00B97965">
        <w:rPr>
          <w:rFonts w:cstheme="minorHAnsi"/>
          <w:sz w:val="24"/>
          <w:szCs w:val="24"/>
        </w:rPr>
        <w:t>boru hattıdır.</w:t>
      </w:r>
    </w:p>
    <w:p w14:paraId="7EB0D55B" w14:textId="57B39818" w:rsidR="000D310F" w:rsidRPr="00B97965" w:rsidRDefault="000D310F" w:rsidP="000D310F">
      <w:pPr>
        <w:pStyle w:val="ListeParagraf"/>
        <w:tabs>
          <w:tab w:val="left" w:pos="284"/>
        </w:tabs>
        <w:ind w:left="0"/>
        <w:jc w:val="center"/>
        <w:rPr>
          <w:rFonts w:cstheme="minorHAnsi"/>
          <w:b/>
          <w:bCs/>
          <w:sz w:val="22"/>
          <w:szCs w:val="22"/>
        </w:rPr>
      </w:pPr>
      <w:r w:rsidRPr="00B97965">
        <w:rPr>
          <w:rFonts w:cstheme="minorHAnsi"/>
          <w:b/>
          <w:bCs/>
          <w:sz w:val="22"/>
          <w:szCs w:val="22"/>
          <w:u w:val="single"/>
        </w:rPr>
        <w:t>Tablo-</w:t>
      </w:r>
      <w:r w:rsidR="00B97965" w:rsidRPr="00B97965">
        <w:rPr>
          <w:rFonts w:cstheme="minorHAnsi"/>
          <w:b/>
          <w:bCs/>
          <w:sz w:val="22"/>
          <w:szCs w:val="22"/>
          <w:u w:val="single"/>
        </w:rPr>
        <w:t>3</w:t>
      </w:r>
      <w:r w:rsidRPr="00B97965">
        <w:rPr>
          <w:rFonts w:cstheme="minorHAnsi"/>
          <w:b/>
          <w:bCs/>
          <w:sz w:val="22"/>
          <w:szCs w:val="22"/>
          <w:u w:val="single"/>
        </w:rPr>
        <w:t>:</w:t>
      </w:r>
      <w:r w:rsidRPr="00B97965">
        <w:rPr>
          <w:rFonts w:cstheme="minorHAnsi"/>
          <w:b/>
          <w:bCs/>
          <w:sz w:val="22"/>
          <w:szCs w:val="22"/>
        </w:rPr>
        <w:t xml:space="preserve"> Hampetrol Terminalleri Kapasiteleri ve Kullanım Oranları (2023-2024*)</w:t>
      </w:r>
    </w:p>
    <w:tbl>
      <w:tblPr>
        <w:tblW w:w="8354" w:type="dxa"/>
        <w:jc w:val="center"/>
        <w:tblCellMar>
          <w:left w:w="70" w:type="dxa"/>
          <w:right w:w="70" w:type="dxa"/>
        </w:tblCellMar>
        <w:tblLook w:val="04A0" w:firstRow="1" w:lastRow="0" w:firstColumn="1" w:lastColumn="0" w:noHBand="0" w:noVBand="1"/>
      </w:tblPr>
      <w:tblGrid>
        <w:gridCol w:w="3490"/>
        <w:gridCol w:w="1745"/>
        <w:gridCol w:w="1701"/>
        <w:gridCol w:w="1418"/>
      </w:tblGrid>
      <w:tr w:rsidR="00B97965" w:rsidRPr="00C83013" w14:paraId="4FA8E35C" w14:textId="77777777" w:rsidTr="00B97965">
        <w:trPr>
          <w:trHeight w:val="493"/>
          <w:jc w:val="center"/>
        </w:trPr>
        <w:tc>
          <w:tcPr>
            <w:tcW w:w="3490"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hideMark/>
          </w:tcPr>
          <w:p w14:paraId="60F60A54" w14:textId="77777777" w:rsidR="00B97965" w:rsidRPr="00C83013" w:rsidRDefault="00B97965">
            <w:pPr>
              <w:spacing w:after="0" w:line="240" w:lineRule="auto"/>
              <w:jc w:val="center"/>
              <w:rPr>
                <w:rFonts w:ascii="Aptos" w:eastAsia="Times New Roman" w:hAnsi="Aptos" w:cs="Times New Roman"/>
                <w:b/>
                <w:bCs/>
                <w:color w:val="333333"/>
                <w:lang w:eastAsia="tr-TR"/>
              </w:rPr>
            </w:pPr>
            <w:r w:rsidRPr="00C83013">
              <w:rPr>
                <w:rFonts w:ascii="Aptos" w:eastAsia="Times New Roman" w:hAnsi="Aptos" w:cs="Times New Roman"/>
                <w:b/>
                <w:bCs/>
                <w:color w:val="333333"/>
                <w:lang w:eastAsia="tr-TR"/>
              </w:rPr>
              <w:t>Boru Hattı</w:t>
            </w:r>
          </w:p>
        </w:tc>
        <w:tc>
          <w:tcPr>
            <w:tcW w:w="1745"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hideMark/>
          </w:tcPr>
          <w:p w14:paraId="59F72589" w14:textId="77777777" w:rsidR="00B97965" w:rsidRPr="00C83013" w:rsidRDefault="00B97965">
            <w:pPr>
              <w:spacing w:after="0" w:line="240" w:lineRule="auto"/>
              <w:jc w:val="center"/>
              <w:rPr>
                <w:rFonts w:ascii="Aptos" w:eastAsia="Times New Roman" w:hAnsi="Aptos" w:cs="Times New Roman"/>
                <w:b/>
                <w:bCs/>
                <w:color w:val="333333"/>
                <w:lang w:eastAsia="tr-TR"/>
              </w:rPr>
            </w:pPr>
            <w:r w:rsidRPr="00C83013">
              <w:rPr>
                <w:rFonts w:ascii="Aptos" w:eastAsia="Times New Roman" w:hAnsi="Aptos" w:cstheme="minorHAnsi"/>
                <w:b/>
                <w:bCs/>
                <w:color w:val="333333"/>
                <w:lang w:eastAsia="tr-TR"/>
              </w:rPr>
              <w:t>Kapasite              (Milyon Ton(Yıl)</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hideMark/>
          </w:tcPr>
          <w:p w14:paraId="7967DD9F" w14:textId="77777777" w:rsidR="00B97965" w:rsidRPr="00C83013" w:rsidRDefault="00B97965">
            <w:pPr>
              <w:spacing w:after="0" w:line="240" w:lineRule="auto"/>
              <w:jc w:val="center"/>
              <w:rPr>
                <w:rFonts w:ascii="Aptos" w:eastAsia="Times New Roman" w:hAnsi="Aptos" w:cs="Times New Roman"/>
                <w:b/>
                <w:bCs/>
                <w:color w:val="333333"/>
                <w:lang w:eastAsia="tr-TR"/>
              </w:rPr>
            </w:pPr>
            <w:r w:rsidRPr="00C83013">
              <w:rPr>
                <w:rFonts w:ascii="Aptos" w:eastAsia="Times New Roman" w:hAnsi="Aptos" w:cstheme="minorHAnsi"/>
                <w:b/>
                <w:bCs/>
                <w:color w:val="333333"/>
                <w:lang w:eastAsia="tr-TR"/>
              </w:rPr>
              <w:t>2024 Yılı Tonajı      (Milyon Ton)</w:t>
            </w:r>
          </w:p>
        </w:tc>
        <w:tc>
          <w:tcPr>
            <w:tcW w:w="1418"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hideMark/>
          </w:tcPr>
          <w:p w14:paraId="20AE0956" w14:textId="66CF7AC4" w:rsidR="00B97965" w:rsidRPr="00C83013" w:rsidRDefault="00CD2149">
            <w:pPr>
              <w:spacing w:after="0" w:line="240" w:lineRule="auto"/>
              <w:jc w:val="center"/>
              <w:rPr>
                <w:rFonts w:ascii="Aptos" w:eastAsia="Times New Roman" w:hAnsi="Aptos" w:cs="Times New Roman"/>
                <w:b/>
                <w:bCs/>
                <w:color w:val="333333"/>
                <w:lang w:eastAsia="tr-TR"/>
              </w:rPr>
            </w:pPr>
            <w:r>
              <w:rPr>
                <w:rFonts w:ascii="Aptos" w:eastAsia="Times New Roman" w:hAnsi="Aptos" w:cstheme="minorHAnsi"/>
                <w:b/>
                <w:bCs/>
                <w:color w:val="333333"/>
                <w:lang w:eastAsia="tr-TR"/>
              </w:rPr>
              <w:t xml:space="preserve">2024 yılı </w:t>
            </w:r>
            <w:r w:rsidR="00B97965" w:rsidRPr="00C83013">
              <w:rPr>
                <w:rFonts w:ascii="Aptos" w:eastAsia="Times New Roman" w:hAnsi="Aptos" w:cstheme="minorHAnsi"/>
                <w:b/>
                <w:bCs/>
                <w:color w:val="333333"/>
                <w:lang w:eastAsia="tr-TR"/>
              </w:rPr>
              <w:t>Kapasite Kullanımı</w:t>
            </w:r>
          </w:p>
        </w:tc>
      </w:tr>
      <w:tr w:rsidR="00B97965" w:rsidRPr="00C83013" w14:paraId="7A250543" w14:textId="77777777" w:rsidTr="00B97965">
        <w:trPr>
          <w:trHeight w:val="493"/>
          <w:jc w:val="center"/>
        </w:trPr>
        <w:tc>
          <w:tcPr>
            <w:tcW w:w="3490" w:type="dxa"/>
            <w:vMerge/>
            <w:tcBorders>
              <w:top w:val="single" w:sz="12" w:space="0" w:color="auto"/>
              <w:left w:val="single" w:sz="12" w:space="0" w:color="auto"/>
              <w:bottom w:val="single" w:sz="12" w:space="0" w:color="auto"/>
              <w:right w:val="single" w:sz="12" w:space="0" w:color="auto"/>
            </w:tcBorders>
            <w:shd w:val="clear" w:color="auto" w:fill="FFFF00"/>
            <w:vAlign w:val="center"/>
            <w:hideMark/>
          </w:tcPr>
          <w:p w14:paraId="1D272654" w14:textId="77777777" w:rsidR="00B97965" w:rsidRPr="00C83013" w:rsidRDefault="00B97965">
            <w:pPr>
              <w:spacing w:after="0" w:line="240" w:lineRule="auto"/>
              <w:rPr>
                <w:rFonts w:ascii="Aptos" w:eastAsia="Times New Roman" w:hAnsi="Aptos" w:cs="Times New Roman"/>
                <w:b/>
                <w:bCs/>
                <w:color w:val="333333"/>
                <w:lang w:eastAsia="tr-TR"/>
              </w:rPr>
            </w:pPr>
          </w:p>
        </w:tc>
        <w:tc>
          <w:tcPr>
            <w:tcW w:w="1745" w:type="dxa"/>
            <w:vMerge/>
            <w:tcBorders>
              <w:top w:val="single" w:sz="12" w:space="0" w:color="auto"/>
              <w:left w:val="single" w:sz="12" w:space="0" w:color="auto"/>
              <w:bottom w:val="single" w:sz="12" w:space="0" w:color="auto"/>
              <w:right w:val="single" w:sz="12" w:space="0" w:color="auto"/>
            </w:tcBorders>
            <w:shd w:val="clear" w:color="auto" w:fill="FFFF00"/>
            <w:vAlign w:val="center"/>
            <w:hideMark/>
          </w:tcPr>
          <w:p w14:paraId="01F61932" w14:textId="77777777" w:rsidR="00B97965" w:rsidRPr="00C83013" w:rsidRDefault="00B97965">
            <w:pPr>
              <w:spacing w:after="0" w:line="240" w:lineRule="auto"/>
              <w:rPr>
                <w:rFonts w:ascii="Aptos" w:eastAsia="Times New Roman" w:hAnsi="Aptos" w:cs="Times New Roman"/>
                <w:b/>
                <w:bCs/>
                <w:color w:val="333333"/>
                <w:lang w:eastAsia="tr-TR"/>
              </w:rPr>
            </w:pPr>
          </w:p>
        </w:tc>
        <w:tc>
          <w:tcPr>
            <w:tcW w:w="1701" w:type="dxa"/>
            <w:vMerge/>
            <w:tcBorders>
              <w:top w:val="single" w:sz="12" w:space="0" w:color="auto"/>
              <w:left w:val="single" w:sz="12" w:space="0" w:color="auto"/>
              <w:bottom w:val="single" w:sz="12" w:space="0" w:color="auto"/>
              <w:right w:val="single" w:sz="12" w:space="0" w:color="auto"/>
            </w:tcBorders>
            <w:shd w:val="clear" w:color="auto" w:fill="FFFF00"/>
            <w:vAlign w:val="center"/>
            <w:hideMark/>
          </w:tcPr>
          <w:p w14:paraId="59313AE0" w14:textId="77777777" w:rsidR="00B97965" w:rsidRPr="00C83013" w:rsidRDefault="00B97965">
            <w:pPr>
              <w:spacing w:after="0" w:line="240" w:lineRule="auto"/>
              <w:rPr>
                <w:rFonts w:ascii="Aptos" w:eastAsia="Times New Roman" w:hAnsi="Aptos" w:cs="Times New Roman"/>
                <w:b/>
                <w:bCs/>
                <w:color w:val="333333"/>
                <w:lang w:eastAsia="tr-TR"/>
              </w:rPr>
            </w:pPr>
          </w:p>
        </w:tc>
        <w:tc>
          <w:tcPr>
            <w:tcW w:w="1418" w:type="dxa"/>
            <w:vMerge/>
            <w:tcBorders>
              <w:top w:val="single" w:sz="12" w:space="0" w:color="auto"/>
              <w:left w:val="single" w:sz="12" w:space="0" w:color="auto"/>
              <w:bottom w:val="single" w:sz="12" w:space="0" w:color="auto"/>
              <w:right w:val="single" w:sz="12" w:space="0" w:color="auto"/>
            </w:tcBorders>
            <w:shd w:val="clear" w:color="auto" w:fill="FFFF00"/>
            <w:vAlign w:val="center"/>
            <w:hideMark/>
          </w:tcPr>
          <w:p w14:paraId="50AC878E" w14:textId="77777777" w:rsidR="00B97965" w:rsidRPr="00C83013" w:rsidRDefault="00B97965">
            <w:pPr>
              <w:spacing w:after="0" w:line="240" w:lineRule="auto"/>
              <w:rPr>
                <w:rFonts w:ascii="Aptos" w:eastAsia="Times New Roman" w:hAnsi="Aptos" w:cs="Times New Roman"/>
                <w:b/>
                <w:bCs/>
                <w:color w:val="333333"/>
                <w:lang w:eastAsia="tr-TR"/>
              </w:rPr>
            </w:pPr>
          </w:p>
        </w:tc>
      </w:tr>
      <w:tr w:rsidR="00B97965" w:rsidRPr="00C83013" w14:paraId="15185315" w14:textId="77777777" w:rsidTr="00B97965">
        <w:trPr>
          <w:trHeight w:val="360"/>
          <w:jc w:val="center"/>
        </w:trPr>
        <w:tc>
          <w:tcPr>
            <w:tcW w:w="34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47DE16" w14:textId="77777777" w:rsidR="00B97965" w:rsidRPr="00C83013" w:rsidRDefault="00B97965">
            <w:pPr>
              <w:spacing w:after="0" w:line="240" w:lineRule="auto"/>
              <w:jc w:val="both"/>
              <w:rPr>
                <w:rFonts w:ascii="Aptos" w:eastAsia="Times New Roman" w:hAnsi="Aptos" w:cs="Times New Roman"/>
                <w:color w:val="333333"/>
                <w:lang w:eastAsia="tr-TR"/>
              </w:rPr>
            </w:pPr>
            <w:r w:rsidRPr="00C83013">
              <w:rPr>
                <w:rFonts w:ascii="Aptos" w:eastAsia="Times New Roman" w:hAnsi="Aptos" w:cs="Times New Roman"/>
                <w:color w:val="333333"/>
                <w:lang w:eastAsia="tr-TR"/>
              </w:rPr>
              <w:t>Kerkük-Yumurtalık (BOTAŞ) Ceyhan</w:t>
            </w:r>
          </w:p>
        </w:tc>
        <w:tc>
          <w:tcPr>
            <w:tcW w:w="174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51FF0D8" w14:textId="21D30BC1"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70</w:t>
            </w:r>
            <w:r w:rsidR="00DD37FB">
              <w:rPr>
                <w:rFonts w:ascii="Aptos" w:eastAsia="Times New Roman" w:hAnsi="Aptos" w:cstheme="minorHAnsi"/>
                <w:color w:val="000000"/>
                <w:lang w:eastAsia="tr-TR"/>
              </w:rPr>
              <w:t>,9</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5677C3D"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2.168</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160DF9"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3,1%</w:t>
            </w:r>
          </w:p>
        </w:tc>
      </w:tr>
      <w:tr w:rsidR="00B97965" w:rsidRPr="00C83013" w14:paraId="0792B019" w14:textId="77777777" w:rsidTr="00B97965">
        <w:trPr>
          <w:trHeight w:val="300"/>
          <w:jc w:val="center"/>
        </w:trPr>
        <w:tc>
          <w:tcPr>
            <w:tcW w:w="34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380858" w14:textId="77777777" w:rsidR="00B97965" w:rsidRPr="00C83013" w:rsidRDefault="00B97965">
            <w:pPr>
              <w:spacing w:after="0" w:line="240" w:lineRule="auto"/>
              <w:jc w:val="both"/>
              <w:rPr>
                <w:rFonts w:ascii="Aptos" w:eastAsia="Times New Roman" w:hAnsi="Aptos" w:cs="Times New Roman"/>
                <w:color w:val="333333"/>
                <w:lang w:eastAsia="tr-TR"/>
              </w:rPr>
            </w:pPr>
            <w:r w:rsidRPr="00C83013">
              <w:rPr>
                <w:rFonts w:ascii="Aptos" w:eastAsia="Times New Roman" w:hAnsi="Aptos" w:cs="Times New Roman"/>
                <w:color w:val="333333"/>
                <w:lang w:eastAsia="tr-TR"/>
              </w:rPr>
              <w:t>Bakü-Tiflis-Ceyhan (BTC)</w:t>
            </w:r>
          </w:p>
        </w:tc>
        <w:tc>
          <w:tcPr>
            <w:tcW w:w="174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A50F41" w14:textId="4F6CA9CE"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50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47110D"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12.847</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165CA6F"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25,7%</w:t>
            </w:r>
          </w:p>
        </w:tc>
      </w:tr>
      <w:tr w:rsidR="00B97965" w:rsidRPr="00C83013" w14:paraId="2E6420B3" w14:textId="77777777" w:rsidTr="00B97965">
        <w:trPr>
          <w:trHeight w:val="300"/>
          <w:jc w:val="center"/>
        </w:trPr>
        <w:tc>
          <w:tcPr>
            <w:tcW w:w="34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7A730B" w14:textId="77777777" w:rsidR="00B97965" w:rsidRPr="00C83013" w:rsidRDefault="00B97965">
            <w:pPr>
              <w:spacing w:after="0" w:line="240" w:lineRule="auto"/>
              <w:jc w:val="both"/>
              <w:rPr>
                <w:rFonts w:ascii="Aptos" w:eastAsia="Times New Roman" w:hAnsi="Aptos" w:cs="Times New Roman"/>
                <w:color w:val="333333"/>
                <w:lang w:eastAsia="tr-TR"/>
              </w:rPr>
            </w:pPr>
            <w:r w:rsidRPr="00C83013">
              <w:rPr>
                <w:rFonts w:ascii="Aptos" w:eastAsia="Times New Roman" w:hAnsi="Aptos" w:cs="Times New Roman"/>
                <w:color w:val="333333"/>
                <w:lang w:eastAsia="tr-TR"/>
              </w:rPr>
              <w:t>Ceyhan-Kırıkkale (BOTAŞ Ceyhan)</w:t>
            </w:r>
          </w:p>
        </w:tc>
        <w:tc>
          <w:tcPr>
            <w:tcW w:w="174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9C3D2B" w14:textId="6D129D68"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7</w:t>
            </w:r>
            <w:r w:rsidR="00DD37FB">
              <w:rPr>
                <w:rFonts w:ascii="Aptos" w:eastAsia="Times New Roman" w:hAnsi="Aptos" w:cstheme="minorHAnsi"/>
                <w:color w:val="000000"/>
                <w:lang w:eastAsia="tr-TR"/>
              </w:rPr>
              <w:t>,2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E3821A"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1.414</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02CD13"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19,6%</w:t>
            </w:r>
          </w:p>
        </w:tc>
      </w:tr>
      <w:tr w:rsidR="00B97965" w:rsidRPr="00C83013" w14:paraId="2D8686C4" w14:textId="77777777" w:rsidTr="00B97965">
        <w:trPr>
          <w:trHeight w:val="300"/>
          <w:jc w:val="center"/>
        </w:trPr>
        <w:tc>
          <w:tcPr>
            <w:tcW w:w="34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474A65" w14:textId="77777777" w:rsidR="00B97965" w:rsidRPr="00C83013" w:rsidRDefault="00B97965">
            <w:pPr>
              <w:spacing w:after="0" w:line="240" w:lineRule="auto"/>
              <w:jc w:val="both"/>
              <w:rPr>
                <w:rFonts w:ascii="Aptos" w:eastAsia="Times New Roman" w:hAnsi="Aptos" w:cs="Times New Roman"/>
                <w:color w:val="333333"/>
                <w:lang w:eastAsia="tr-TR"/>
              </w:rPr>
            </w:pPr>
            <w:r w:rsidRPr="00C83013">
              <w:rPr>
                <w:rFonts w:ascii="Aptos" w:eastAsia="Times New Roman" w:hAnsi="Aptos" w:cs="Times New Roman"/>
                <w:color w:val="333333"/>
                <w:lang w:eastAsia="tr-TR"/>
              </w:rPr>
              <w:t>Batman-Dörtyol (BOTAŞ Dörtyol)</w:t>
            </w:r>
          </w:p>
        </w:tc>
        <w:tc>
          <w:tcPr>
            <w:tcW w:w="174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FDD697" w14:textId="63AFA253"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4</w:t>
            </w:r>
            <w:r w:rsidR="00DD37FB">
              <w:rPr>
                <w:rFonts w:ascii="Aptos" w:eastAsia="Times New Roman" w:hAnsi="Aptos" w:cstheme="minorHAnsi"/>
                <w:color w:val="000000"/>
                <w:lang w:eastAsia="tr-TR"/>
              </w:rPr>
              <w:t>,5</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C1E26CA"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1.601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C2D53E"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35,6%</w:t>
            </w:r>
          </w:p>
        </w:tc>
      </w:tr>
      <w:tr w:rsidR="00B97965" w:rsidRPr="00C83013" w14:paraId="660B912E" w14:textId="77777777" w:rsidTr="00B97965">
        <w:trPr>
          <w:trHeight w:val="300"/>
          <w:jc w:val="center"/>
        </w:trPr>
        <w:tc>
          <w:tcPr>
            <w:tcW w:w="34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CECE4A6" w14:textId="77777777" w:rsidR="00B97965" w:rsidRPr="00C83013" w:rsidRDefault="00B97965">
            <w:pPr>
              <w:spacing w:after="0" w:line="240" w:lineRule="auto"/>
              <w:jc w:val="both"/>
              <w:rPr>
                <w:rFonts w:ascii="Aptos" w:eastAsia="Times New Roman" w:hAnsi="Aptos" w:cs="Times New Roman"/>
                <w:color w:val="333333"/>
                <w:lang w:eastAsia="tr-TR"/>
              </w:rPr>
            </w:pPr>
            <w:r w:rsidRPr="00C83013">
              <w:rPr>
                <w:rFonts w:ascii="Aptos" w:eastAsia="Times New Roman" w:hAnsi="Aptos" w:cs="Times New Roman"/>
                <w:color w:val="333333"/>
                <w:lang w:eastAsia="tr-TR"/>
              </w:rPr>
              <w:t>Dörtyol-Ceyhan (BOTAŞ CEYHAN)</w:t>
            </w:r>
          </w:p>
        </w:tc>
        <w:tc>
          <w:tcPr>
            <w:tcW w:w="174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0C66CE" w14:textId="53FB7658"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10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1D0D702"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1.228</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D55055" w14:textId="77777777" w:rsidR="00B97965" w:rsidRPr="00C83013" w:rsidRDefault="00B97965">
            <w:pPr>
              <w:spacing w:after="0" w:line="240" w:lineRule="auto"/>
              <w:jc w:val="center"/>
              <w:rPr>
                <w:rFonts w:ascii="Aptos" w:eastAsia="Times New Roman" w:hAnsi="Aptos" w:cs="Times New Roman"/>
                <w:color w:val="000000"/>
                <w:lang w:eastAsia="tr-TR"/>
              </w:rPr>
            </w:pPr>
            <w:r w:rsidRPr="00C83013">
              <w:rPr>
                <w:rFonts w:ascii="Aptos" w:eastAsia="Times New Roman" w:hAnsi="Aptos" w:cstheme="minorHAnsi"/>
                <w:color w:val="000000"/>
                <w:lang w:eastAsia="tr-TR"/>
              </w:rPr>
              <w:t>12,3%</w:t>
            </w:r>
          </w:p>
        </w:tc>
      </w:tr>
    </w:tbl>
    <w:p w14:paraId="64CD8360" w14:textId="543B9722" w:rsidR="000D310F" w:rsidRPr="00D76FE5" w:rsidRDefault="000D310F" w:rsidP="000D310F">
      <w:pPr>
        <w:pStyle w:val="ListeParagraf"/>
        <w:tabs>
          <w:tab w:val="left" w:pos="284"/>
        </w:tabs>
        <w:ind w:left="0"/>
        <w:jc w:val="both"/>
        <w:rPr>
          <w:rFonts w:ascii="Calibri" w:eastAsia="Times New Roman" w:hAnsi="Calibri" w:cs="Calibri"/>
          <w:i/>
          <w:iCs/>
          <w:color w:val="000000"/>
          <w:sz w:val="20"/>
          <w:szCs w:val="20"/>
          <w:lang w:eastAsia="tr-TR"/>
        </w:rPr>
      </w:pPr>
      <w:r>
        <w:rPr>
          <w:rFonts w:ascii="Calibri" w:eastAsia="Times New Roman" w:hAnsi="Calibri" w:cs="Calibri"/>
          <w:i/>
          <w:iCs/>
          <w:color w:val="000000"/>
          <w:sz w:val="20"/>
          <w:szCs w:val="20"/>
          <w:lang w:eastAsia="tr-TR"/>
        </w:rPr>
        <w:t xml:space="preserve">   </w:t>
      </w:r>
      <w:r w:rsidR="00B97965">
        <w:rPr>
          <w:rFonts w:ascii="Calibri" w:eastAsia="Times New Roman" w:hAnsi="Calibri" w:cs="Calibri"/>
          <w:i/>
          <w:iCs/>
          <w:color w:val="000000"/>
          <w:sz w:val="20"/>
          <w:szCs w:val="20"/>
          <w:lang w:eastAsia="tr-TR"/>
        </w:rPr>
        <w:t xml:space="preserve">          </w:t>
      </w:r>
      <w:r w:rsidRPr="00D76FE5">
        <w:rPr>
          <w:rFonts w:ascii="Calibri" w:eastAsia="Times New Roman" w:hAnsi="Calibri" w:cs="Calibri"/>
          <w:i/>
          <w:iCs/>
          <w:color w:val="000000"/>
          <w:sz w:val="20"/>
          <w:szCs w:val="20"/>
          <w:lang w:eastAsia="tr-TR"/>
        </w:rPr>
        <w:t xml:space="preserve">* </w:t>
      </w:r>
      <w:r w:rsidR="00C23BF6">
        <w:rPr>
          <w:rFonts w:ascii="Calibri" w:eastAsia="Times New Roman" w:hAnsi="Calibri" w:cs="Calibri"/>
          <w:i/>
          <w:iCs/>
          <w:color w:val="000000"/>
          <w:sz w:val="20"/>
          <w:szCs w:val="20"/>
          <w:lang w:eastAsia="tr-TR"/>
        </w:rPr>
        <w:t xml:space="preserve">Tonajlar </w:t>
      </w:r>
      <w:r w:rsidRPr="00D76FE5">
        <w:rPr>
          <w:rFonts w:ascii="Calibri" w:eastAsia="Times New Roman" w:hAnsi="Calibri" w:cs="Calibri"/>
          <w:i/>
          <w:iCs/>
          <w:color w:val="000000"/>
          <w:sz w:val="20"/>
          <w:szCs w:val="20"/>
          <w:lang w:eastAsia="tr-TR"/>
        </w:rPr>
        <w:t xml:space="preserve">2024 yılı </w:t>
      </w:r>
      <w:r w:rsidR="00B84450">
        <w:rPr>
          <w:rFonts w:ascii="Calibri" w:eastAsia="Times New Roman" w:hAnsi="Calibri" w:cs="Calibri"/>
          <w:i/>
          <w:iCs/>
          <w:color w:val="000000"/>
          <w:sz w:val="20"/>
          <w:szCs w:val="20"/>
          <w:lang w:eastAsia="tr-TR"/>
        </w:rPr>
        <w:t xml:space="preserve">için </w:t>
      </w:r>
      <w:r w:rsidRPr="00D76FE5">
        <w:rPr>
          <w:rFonts w:ascii="Calibri" w:eastAsia="Times New Roman" w:hAnsi="Calibri" w:cs="Calibri"/>
          <w:i/>
          <w:iCs/>
          <w:color w:val="000000"/>
          <w:sz w:val="20"/>
          <w:szCs w:val="20"/>
          <w:lang w:eastAsia="tr-TR"/>
        </w:rPr>
        <w:t>Ocak-Aralık olarak 11 aylıktır.</w:t>
      </w:r>
    </w:p>
    <w:p w14:paraId="3B35E8C5" w14:textId="77777777" w:rsidR="000D310F" w:rsidRDefault="000D310F" w:rsidP="000D310F">
      <w:pPr>
        <w:jc w:val="both"/>
        <w:rPr>
          <w:color w:val="FF0000"/>
        </w:rPr>
      </w:pPr>
    </w:p>
    <w:p w14:paraId="1E2FA0D0" w14:textId="77777777" w:rsidR="000D310F" w:rsidRDefault="000D310F" w:rsidP="000D310F">
      <w:pPr>
        <w:jc w:val="both"/>
        <w:rPr>
          <w:rFonts w:cstheme="minorHAnsi"/>
        </w:rPr>
      </w:pPr>
    </w:p>
    <w:p w14:paraId="51F9DFFF" w14:textId="77777777" w:rsidR="000D310F" w:rsidRDefault="000D310F" w:rsidP="002B6338">
      <w:pPr>
        <w:pStyle w:val="ListeParagraf"/>
        <w:tabs>
          <w:tab w:val="left" w:pos="284"/>
        </w:tabs>
        <w:ind w:left="0"/>
        <w:jc w:val="both"/>
        <w:rPr>
          <w:rFonts w:cstheme="minorHAnsi"/>
          <w:b/>
          <w:bCs/>
        </w:rPr>
      </w:pPr>
    </w:p>
    <w:p w14:paraId="47A88EF6" w14:textId="77777777" w:rsidR="000D310F" w:rsidRDefault="000D310F" w:rsidP="002B6338">
      <w:pPr>
        <w:pStyle w:val="ListeParagraf"/>
        <w:tabs>
          <w:tab w:val="left" w:pos="284"/>
        </w:tabs>
        <w:ind w:left="0"/>
        <w:jc w:val="both"/>
        <w:rPr>
          <w:rFonts w:cstheme="minorHAnsi"/>
          <w:b/>
          <w:bCs/>
        </w:rPr>
      </w:pPr>
    </w:p>
    <w:p w14:paraId="0125D6D4" w14:textId="77777777" w:rsidR="000D310F" w:rsidRDefault="000D310F" w:rsidP="002B6338">
      <w:pPr>
        <w:pStyle w:val="ListeParagraf"/>
        <w:tabs>
          <w:tab w:val="left" w:pos="284"/>
        </w:tabs>
        <w:ind w:left="0"/>
        <w:jc w:val="both"/>
        <w:rPr>
          <w:rFonts w:cstheme="minorHAnsi"/>
          <w:b/>
          <w:bCs/>
        </w:rPr>
      </w:pPr>
    </w:p>
    <w:sectPr w:rsidR="000D310F" w:rsidSect="001948E4">
      <w:pgSz w:w="11906" w:h="16838"/>
      <w:pgMar w:top="1417" w:right="849" w:bottom="1418" w:left="1417" w:header="708" w:footer="708" w:gutter="0"/>
      <w:pgBorders w:display="firstPage" w:offsetFrom="page">
        <w:top w:val="single" w:sz="18" w:space="24" w:color="BF4E14" w:themeColor="accent2" w:themeShade="BF"/>
        <w:left w:val="single" w:sz="18" w:space="24" w:color="BF4E14" w:themeColor="accent2" w:themeShade="BF"/>
        <w:bottom w:val="single" w:sz="18" w:space="24" w:color="BF4E14" w:themeColor="accent2" w:themeShade="BF"/>
        <w:right w:val="single" w:sz="18" w:space="24" w:color="BF4E14"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55EE" w14:textId="77777777" w:rsidR="00904DD5" w:rsidRDefault="00904DD5" w:rsidP="00465778">
      <w:pPr>
        <w:spacing w:after="0" w:line="240" w:lineRule="auto"/>
      </w:pPr>
      <w:r>
        <w:separator/>
      </w:r>
    </w:p>
  </w:endnote>
  <w:endnote w:type="continuationSeparator" w:id="0">
    <w:p w14:paraId="1A4AF0B6" w14:textId="77777777" w:rsidR="00904DD5" w:rsidRDefault="00904DD5" w:rsidP="00465778">
      <w:pPr>
        <w:spacing w:after="0" w:line="240" w:lineRule="auto"/>
      </w:pPr>
      <w:r>
        <w:continuationSeparator/>
      </w:r>
    </w:p>
  </w:endnote>
  <w:endnote w:type="continuationNotice" w:id="1">
    <w:p w14:paraId="742909E6" w14:textId="77777777" w:rsidR="00904DD5" w:rsidRDefault="00904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DFont+F1">
    <w:altName w:val="Calibri"/>
    <w:panose1 w:val="00000000000000000000"/>
    <w:charset w:val="A2"/>
    <w:family w:val="auto"/>
    <w:notTrueType/>
    <w:pitch w:val="default"/>
    <w:sig w:usb0="00000005" w:usb1="00000000" w:usb2="00000000" w:usb3="00000000" w:csb0="00000010" w:csb1="00000000"/>
  </w:font>
  <w:font w:name="CIDFont+F2">
    <w:altName w:val="Calibri"/>
    <w:panose1 w:val="00000000000000000000"/>
    <w:charset w:val="A2"/>
    <w:family w:val="auto"/>
    <w:notTrueType/>
    <w:pitch w:val="default"/>
    <w:sig w:usb0="00000005" w:usb1="00000000" w:usb2="00000000" w:usb3="00000000" w:csb0="00000010" w:csb1="00000000"/>
  </w:font>
  <w:font w:name="CIDFont+F3">
    <w:altName w:val="Calibri"/>
    <w:panose1 w:val="00000000000000000000"/>
    <w:charset w:val="A2"/>
    <w:family w:val="auto"/>
    <w:notTrueType/>
    <w:pitch w:val="default"/>
    <w:sig w:usb0="00000005" w:usb1="00000000" w:usb2="00000000" w:usb3="00000000" w:csb0="00000010" w:csb1="00000000"/>
  </w:font>
  <w:font w:name="ADLaM Display">
    <w:charset w:val="00"/>
    <w:family w:val="auto"/>
    <w:pitch w:val="variable"/>
    <w:sig w:usb0="8000206F" w:usb1="4200004A" w:usb2="0000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C9D0C" w14:textId="77777777" w:rsidR="00904DD5" w:rsidRDefault="00904DD5" w:rsidP="00465778">
      <w:pPr>
        <w:spacing w:after="0" w:line="240" w:lineRule="auto"/>
      </w:pPr>
      <w:r>
        <w:separator/>
      </w:r>
    </w:p>
  </w:footnote>
  <w:footnote w:type="continuationSeparator" w:id="0">
    <w:p w14:paraId="274C2311" w14:textId="77777777" w:rsidR="00904DD5" w:rsidRDefault="00904DD5" w:rsidP="00465778">
      <w:pPr>
        <w:spacing w:after="0" w:line="240" w:lineRule="auto"/>
      </w:pPr>
      <w:r>
        <w:continuationSeparator/>
      </w:r>
    </w:p>
  </w:footnote>
  <w:footnote w:type="continuationNotice" w:id="1">
    <w:p w14:paraId="635FD70B" w14:textId="77777777" w:rsidR="00904DD5" w:rsidRDefault="00904DD5">
      <w:pPr>
        <w:spacing w:after="0" w:line="240" w:lineRule="auto"/>
      </w:pPr>
    </w:p>
  </w:footnote>
  <w:footnote w:id="2">
    <w:p w14:paraId="109BBD41" w14:textId="37D8AA3A" w:rsidR="00970E80" w:rsidRDefault="00970E80">
      <w:pPr>
        <w:pStyle w:val="DipnotMetni"/>
      </w:pPr>
      <w:r>
        <w:rPr>
          <w:rStyle w:val="DipnotBavurusu"/>
        </w:rPr>
        <w:footnoteRef/>
      </w:r>
      <w:r w:rsidR="003872B1">
        <w:t xml:space="preserve"> </w:t>
      </w:r>
      <w:hyperlink r:id="rId1" w:history="1">
        <w:r w:rsidRPr="003872B1">
          <w:rPr>
            <w:rStyle w:val="Kpr"/>
            <w:rFonts w:cstheme="minorHAnsi"/>
          </w:rPr>
          <w:t>https://www.botas.gov.tr/Sayfa/ham-petrol/13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17074"/>
    <w:multiLevelType w:val="hybridMultilevel"/>
    <w:tmpl w:val="E252E9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6E7DAB"/>
    <w:multiLevelType w:val="hybridMultilevel"/>
    <w:tmpl w:val="DF1CDDD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EA0160"/>
    <w:multiLevelType w:val="hybridMultilevel"/>
    <w:tmpl w:val="91BA2DCC"/>
    <w:lvl w:ilvl="0" w:tplc="A79EF8AC">
      <w:start w:val="3"/>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48560C8"/>
    <w:multiLevelType w:val="multilevel"/>
    <w:tmpl w:val="1764ACEE"/>
    <w:lvl w:ilvl="0">
      <w:start w:val="1"/>
      <w:numFmt w:val="decimal"/>
      <w:lvlText w:val="%1."/>
      <w:lvlJc w:val="left"/>
      <w:pPr>
        <w:ind w:left="4613"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81100941">
    <w:abstractNumId w:val="3"/>
  </w:num>
  <w:num w:numId="2" w16cid:durableId="443233235">
    <w:abstractNumId w:val="2"/>
  </w:num>
  <w:num w:numId="3" w16cid:durableId="1244027267">
    <w:abstractNumId w:val="0"/>
  </w:num>
  <w:num w:numId="4" w16cid:durableId="837496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AD"/>
    <w:rsid w:val="00002FAD"/>
    <w:rsid w:val="00006581"/>
    <w:rsid w:val="00010BB0"/>
    <w:rsid w:val="00012781"/>
    <w:rsid w:val="0001593C"/>
    <w:rsid w:val="00017790"/>
    <w:rsid w:val="00024753"/>
    <w:rsid w:val="00025766"/>
    <w:rsid w:val="00025DD2"/>
    <w:rsid w:val="00027211"/>
    <w:rsid w:val="00030F80"/>
    <w:rsid w:val="00034BE6"/>
    <w:rsid w:val="00040373"/>
    <w:rsid w:val="00040EE0"/>
    <w:rsid w:val="00041D7D"/>
    <w:rsid w:val="00046E19"/>
    <w:rsid w:val="00050406"/>
    <w:rsid w:val="00053CC0"/>
    <w:rsid w:val="00054619"/>
    <w:rsid w:val="0005562D"/>
    <w:rsid w:val="00056DC4"/>
    <w:rsid w:val="0006257E"/>
    <w:rsid w:val="000703FE"/>
    <w:rsid w:val="000728D1"/>
    <w:rsid w:val="0007479A"/>
    <w:rsid w:val="00076459"/>
    <w:rsid w:val="00077CD0"/>
    <w:rsid w:val="000803C1"/>
    <w:rsid w:val="00081C3E"/>
    <w:rsid w:val="00083C4F"/>
    <w:rsid w:val="00086770"/>
    <w:rsid w:val="0009050F"/>
    <w:rsid w:val="000918EF"/>
    <w:rsid w:val="000938CE"/>
    <w:rsid w:val="00095B98"/>
    <w:rsid w:val="000A18DF"/>
    <w:rsid w:val="000A1B27"/>
    <w:rsid w:val="000B0757"/>
    <w:rsid w:val="000B3B3A"/>
    <w:rsid w:val="000B45FE"/>
    <w:rsid w:val="000B495F"/>
    <w:rsid w:val="000B4F75"/>
    <w:rsid w:val="000B65A3"/>
    <w:rsid w:val="000B7858"/>
    <w:rsid w:val="000C248B"/>
    <w:rsid w:val="000C3A6D"/>
    <w:rsid w:val="000C7045"/>
    <w:rsid w:val="000C7977"/>
    <w:rsid w:val="000C7E88"/>
    <w:rsid w:val="000D021A"/>
    <w:rsid w:val="000D310F"/>
    <w:rsid w:val="000D7A56"/>
    <w:rsid w:val="000D7AF7"/>
    <w:rsid w:val="000E2721"/>
    <w:rsid w:val="000E3230"/>
    <w:rsid w:val="000E78B0"/>
    <w:rsid w:val="000F14DC"/>
    <w:rsid w:val="000F57B3"/>
    <w:rsid w:val="00103D30"/>
    <w:rsid w:val="00103DBF"/>
    <w:rsid w:val="0010474B"/>
    <w:rsid w:val="00112491"/>
    <w:rsid w:val="00114386"/>
    <w:rsid w:val="00122528"/>
    <w:rsid w:val="00122B3F"/>
    <w:rsid w:val="00124A7B"/>
    <w:rsid w:val="00124F37"/>
    <w:rsid w:val="0013018A"/>
    <w:rsid w:val="001318AF"/>
    <w:rsid w:val="001346ED"/>
    <w:rsid w:val="00136EFF"/>
    <w:rsid w:val="00143C7E"/>
    <w:rsid w:val="00143D36"/>
    <w:rsid w:val="001477F8"/>
    <w:rsid w:val="00151FDA"/>
    <w:rsid w:val="00152279"/>
    <w:rsid w:val="00163311"/>
    <w:rsid w:val="00164FFE"/>
    <w:rsid w:val="00166732"/>
    <w:rsid w:val="001678B4"/>
    <w:rsid w:val="00170419"/>
    <w:rsid w:val="00175285"/>
    <w:rsid w:val="001778EC"/>
    <w:rsid w:val="00184A14"/>
    <w:rsid w:val="00191476"/>
    <w:rsid w:val="00191858"/>
    <w:rsid w:val="00193E0F"/>
    <w:rsid w:val="001948E4"/>
    <w:rsid w:val="00194C07"/>
    <w:rsid w:val="00195023"/>
    <w:rsid w:val="001A0116"/>
    <w:rsid w:val="001A0861"/>
    <w:rsid w:val="001A468A"/>
    <w:rsid w:val="001A54E4"/>
    <w:rsid w:val="001A6B51"/>
    <w:rsid w:val="001B2167"/>
    <w:rsid w:val="001B35C5"/>
    <w:rsid w:val="001C382A"/>
    <w:rsid w:val="001C3E9F"/>
    <w:rsid w:val="001C417F"/>
    <w:rsid w:val="001C6948"/>
    <w:rsid w:val="001D4182"/>
    <w:rsid w:val="001F0BA4"/>
    <w:rsid w:val="001F1895"/>
    <w:rsid w:val="001F1926"/>
    <w:rsid w:val="00203F68"/>
    <w:rsid w:val="002048E1"/>
    <w:rsid w:val="00206B08"/>
    <w:rsid w:val="002115B8"/>
    <w:rsid w:val="002129B7"/>
    <w:rsid w:val="00213189"/>
    <w:rsid w:val="00222A30"/>
    <w:rsid w:val="00222A99"/>
    <w:rsid w:val="00231783"/>
    <w:rsid w:val="00232DFE"/>
    <w:rsid w:val="00233FB4"/>
    <w:rsid w:val="00235186"/>
    <w:rsid w:val="0023553E"/>
    <w:rsid w:val="002464F0"/>
    <w:rsid w:val="002508A0"/>
    <w:rsid w:val="00251D61"/>
    <w:rsid w:val="00266DC1"/>
    <w:rsid w:val="00271451"/>
    <w:rsid w:val="0027769D"/>
    <w:rsid w:val="00280789"/>
    <w:rsid w:val="00282573"/>
    <w:rsid w:val="00283317"/>
    <w:rsid w:val="002862F0"/>
    <w:rsid w:val="00286D51"/>
    <w:rsid w:val="002943F3"/>
    <w:rsid w:val="00294499"/>
    <w:rsid w:val="0029451D"/>
    <w:rsid w:val="00294A0E"/>
    <w:rsid w:val="002A03B0"/>
    <w:rsid w:val="002A3177"/>
    <w:rsid w:val="002B1571"/>
    <w:rsid w:val="002B519E"/>
    <w:rsid w:val="002B6338"/>
    <w:rsid w:val="002B7903"/>
    <w:rsid w:val="002C59EC"/>
    <w:rsid w:val="002D4D6C"/>
    <w:rsid w:val="002D6D59"/>
    <w:rsid w:val="002D7AE9"/>
    <w:rsid w:val="002E752B"/>
    <w:rsid w:val="002F0706"/>
    <w:rsid w:val="002F24D9"/>
    <w:rsid w:val="002F2C9D"/>
    <w:rsid w:val="002F7083"/>
    <w:rsid w:val="002F77B2"/>
    <w:rsid w:val="00307074"/>
    <w:rsid w:val="003120A5"/>
    <w:rsid w:val="00313079"/>
    <w:rsid w:val="003140C0"/>
    <w:rsid w:val="0031775F"/>
    <w:rsid w:val="00320408"/>
    <w:rsid w:val="003209C8"/>
    <w:rsid w:val="00322DA3"/>
    <w:rsid w:val="00323D60"/>
    <w:rsid w:val="00325116"/>
    <w:rsid w:val="003310E7"/>
    <w:rsid w:val="00331B43"/>
    <w:rsid w:val="00332732"/>
    <w:rsid w:val="003373C8"/>
    <w:rsid w:val="00351926"/>
    <w:rsid w:val="0035738F"/>
    <w:rsid w:val="003574EB"/>
    <w:rsid w:val="003616FE"/>
    <w:rsid w:val="003617FA"/>
    <w:rsid w:val="00361E97"/>
    <w:rsid w:val="00362E1C"/>
    <w:rsid w:val="00366DA7"/>
    <w:rsid w:val="00367859"/>
    <w:rsid w:val="003727AB"/>
    <w:rsid w:val="00375D2C"/>
    <w:rsid w:val="00380903"/>
    <w:rsid w:val="00383AB7"/>
    <w:rsid w:val="003872B1"/>
    <w:rsid w:val="003923C1"/>
    <w:rsid w:val="00392E68"/>
    <w:rsid w:val="00397773"/>
    <w:rsid w:val="00397FC8"/>
    <w:rsid w:val="003A7E4F"/>
    <w:rsid w:val="003B070E"/>
    <w:rsid w:val="003B1ECD"/>
    <w:rsid w:val="003B3C92"/>
    <w:rsid w:val="003B740C"/>
    <w:rsid w:val="003C2739"/>
    <w:rsid w:val="003C57DF"/>
    <w:rsid w:val="003C756A"/>
    <w:rsid w:val="003D050A"/>
    <w:rsid w:val="003D0972"/>
    <w:rsid w:val="003D0DBF"/>
    <w:rsid w:val="003D1905"/>
    <w:rsid w:val="003D3951"/>
    <w:rsid w:val="003D45E4"/>
    <w:rsid w:val="003E27D5"/>
    <w:rsid w:val="003E2FFF"/>
    <w:rsid w:val="003E601A"/>
    <w:rsid w:val="003E7581"/>
    <w:rsid w:val="003F0EF2"/>
    <w:rsid w:val="003F142D"/>
    <w:rsid w:val="003F195F"/>
    <w:rsid w:val="003F42E9"/>
    <w:rsid w:val="004030A2"/>
    <w:rsid w:val="004056E7"/>
    <w:rsid w:val="004100BE"/>
    <w:rsid w:val="00410154"/>
    <w:rsid w:val="00410771"/>
    <w:rsid w:val="00410FE5"/>
    <w:rsid w:val="00414230"/>
    <w:rsid w:val="00422EC6"/>
    <w:rsid w:val="00426641"/>
    <w:rsid w:val="00426DF3"/>
    <w:rsid w:val="004273AA"/>
    <w:rsid w:val="00427690"/>
    <w:rsid w:val="00431391"/>
    <w:rsid w:val="00432051"/>
    <w:rsid w:val="00432351"/>
    <w:rsid w:val="00440CE5"/>
    <w:rsid w:val="00443C50"/>
    <w:rsid w:val="0046035E"/>
    <w:rsid w:val="00460B7C"/>
    <w:rsid w:val="0046285C"/>
    <w:rsid w:val="00464993"/>
    <w:rsid w:val="00465778"/>
    <w:rsid w:val="00467844"/>
    <w:rsid w:val="00475365"/>
    <w:rsid w:val="0047707A"/>
    <w:rsid w:val="004815E6"/>
    <w:rsid w:val="00482C65"/>
    <w:rsid w:val="00483B20"/>
    <w:rsid w:val="00490818"/>
    <w:rsid w:val="00491B51"/>
    <w:rsid w:val="00492AD8"/>
    <w:rsid w:val="004969D8"/>
    <w:rsid w:val="0049729C"/>
    <w:rsid w:val="004973F9"/>
    <w:rsid w:val="004A03EB"/>
    <w:rsid w:val="004A13E9"/>
    <w:rsid w:val="004A4572"/>
    <w:rsid w:val="004A6604"/>
    <w:rsid w:val="004B1B36"/>
    <w:rsid w:val="004B38D8"/>
    <w:rsid w:val="004C1639"/>
    <w:rsid w:val="004C68AF"/>
    <w:rsid w:val="004D32CF"/>
    <w:rsid w:val="004D6919"/>
    <w:rsid w:val="004D6BD8"/>
    <w:rsid w:val="004E7291"/>
    <w:rsid w:val="004F61AB"/>
    <w:rsid w:val="004F6BAA"/>
    <w:rsid w:val="0050265E"/>
    <w:rsid w:val="005041A5"/>
    <w:rsid w:val="0050427E"/>
    <w:rsid w:val="00504BFF"/>
    <w:rsid w:val="00504E48"/>
    <w:rsid w:val="00516242"/>
    <w:rsid w:val="00523B3C"/>
    <w:rsid w:val="00523BD9"/>
    <w:rsid w:val="005256A3"/>
    <w:rsid w:val="0052666D"/>
    <w:rsid w:val="00536E7F"/>
    <w:rsid w:val="0054194D"/>
    <w:rsid w:val="0054306E"/>
    <w:rsid w:val="00552A57"/>
    <w:rsid w:val="00557B64"/>
    <w:rsid w:val="00557F73"/>
    <w:rsid w:val="00562DF1"/>
    <w:rsid w:val="005647B9"/>
    <w:rsid w:val="00565261"/>
    <w:rsid w:val="0057057B"/>
    <w:rsid w:val="005733C4"/>
    <w:rsid w:val="00573C91"/>
    <w:rsid w:val="00574027"/>
    <w:rsid w:val="005828DF"/>
    <w:rsid w:val="005846DB"/>
    <w:rsid w:val="005858F5"/>
    <w:rsid w:val="00586213"/>
    <w:rsid w:val="00590583"/>
    <w:rsid w:val="005934EF"/>
    <w:rsid w:val="005A106A"/>
    <w:rsid w:val="005C49F7"/>
    <w:rsid w:val="005C6A8A"/>
    <w:rsid w:val="005D6691"/>
    <w:rsid w:val="005D7930"/>
    <w:rsid w:val="005D7DFD"/>
    <w:rsid w:val="005E3890"/>
    <w:rsid w:val="005E3B1F"/>
    <w:rsid w:val="006029B6"/>
    <w:rsid w:val="00610F84"/>
    <w:rsid w:val="006141B6"/>
    <w:rsid w:val="00614D32"/>
    <w:rsid w:val="00617DCB"/>
    <w:rsid w:val="00621427"/>
    <w:rsid w:val="00621577"/>
    <w:rsid w:val="00626C93"/>
    <w:rsid w:val="0063291A"/>
    <w:rsid w:val="00632BDA"/>
    <w:rsid w:val="00632D30"/>
    <w:rsid w:val="00635100"/>
    <w:rsid w:val="00636A1C"/>
    <w:rsid w:val="00640A82"/>
    <w:rsid w:val="00645083"/>
    <w:rsid w:val="006506E1"/>
    <w:rsid w:val="00654C5A"/>
    <w:rsid w:val="006556FE"/>
    <w:rsid w:val="00661824"/>
    <w:rsid w:val="00664146"/>
    <w:rsid w:val="00664CEB"/>
    <w:rsid w:val="00665EA2"/>
    <w:rsid w:val="006673C2"/>
    <w:rsid w:val="00681E1E"/>
    <w:rsid w:val="00682942"/>
    <w:rsid w:val="00683A43"/>
    <w:rsid w:val="0068482A"/>
    <w:rsid w:val="00684DD7"/>
    <w:rsid w:val="006922AC"/>
    <w:rsid w:val="006922C1"/>
    <w:rsid w:val="0069619F"/>
    <w:rsid w:val="00696FCA"/>
    <w:rsid w:val="006A36D3"/>
    <w:rsid w:val="006A7743"/>
    <w:rsid w:val="006B02A4"/>
    <w:rsid w:val="006B1CB0"/>
    <w:rsid w:val="006B245A"/>
    <w:rsid w:val="006B3BD6"/>
    <w:rsid w:val="006B6A80"/>
    <w:rsid w:val="006C0AF7"/>
    <w:rsid w:val="006C1DF8"/>
    <w:rsid w:val="006C1F21"/>
    <w:rsid w:val="006C3668"/>
    <w:rsid w:val="006C3BBB"/>
    <w:rsid w:val="006D0278"/>
    <w:rsid w:val="006D35F4"/>
    <w:rsid w:val="006D37D7"/>
    <w:rsid w:val="006D3A00"/>
    <w:rsid w:val="006D3BD5"/>
    <w:rsid w:val="006D666B"/>
    <w:rsid w:val="006D706C"/>
    <w:rsid w:val="006D7B02"/>
    <w:rsid w:val="006E406A"/>
    <w:rsid w:val="00707597"/>
    <w:rsid w:val="007114D8"/>
    <w:rsid w:val="0071225F"/>
    <w:rsid w:val="00716F27"/>
    <w:rsid w:val="007234A5"/>
    <w:rsid w:val="00724069"/>
    <w:rsid w:val="00725305"/>
    <w:rsid w:val="00730BCF"/>
    <w:rsid w:val="00730F8A"/>
    <w:rsid w:val="007317CA"/>
    <w:rsid w:val="00734BD1"/>
    <w:rsid w:val="0073702E"/>
    <w:rsid w:val="0074468E"/>
    <w:rsid w:val="007457DE"/>
    <w:rsid w:val="00745B4A"/>
    <w:rsid w:val="00754EA6"/>
    <w:rsid w:val="00756E2F"/>
    <w:rsid w:val="0076059D"/>
    <w:rsid w:val="00761864"/>
    <w:rsid w:val="00763DE2"/>
    <w:rsid w:val="00765497"/>
    <w:rsid w:val="0077175A"/>
    <w:rsid w:val="0077248E"/>
    <w:rsid w:val="00776B68"/>
    <w:rsid w:val="0078030E"/>
    <w:rsid w:val="00781B7F"/>
    <w:rsid w:val="00785AEE"/>
    <w:rsid w:val="00785C86"/>
    <w:rsid w:val="007869FA"/>
    <w:rsid w:val="00786FCE"/>
    <w:rsid w:val="0079084C"/>
    <w:rsid w:val="00792322"/>
    <w:rsid w:val="0079304C"/>
    <w:rsid w:val="00793A9A"/>
    <w:rsid w:val="007A03B5"/>
    <w:rsid w:val="007A1188"/>
    <w:rsid w:val="007A212E"/>
    <w:rsid w:val="007A452A"/>
    <w:rsid w:val="007B1FA0"/>
    <w:rsid w:val="007B405A"/>
    <w:rsid w:val="007B4E22"/>
    <w:rsid w:val="007B732F"/>
    <w:rsid w:val="007C00FA"/>
    <w:rsid w:val="007C1D37"/>
    <w:rsid w:val="007C53E6"/>
    <w:rsid w:val="007C56E9"/>
    <w:rsid w:val="007D17D3"/>
    <w:rsid w:val="007D3CE7"/>
    <w:rsid w:val="007D4D89"/>
    <w:rsid w:val="007D61EC"/>
    <w:rsid w:val="007D6DAB"/>
    <w:rsid w:val="007D6E4F"/>
    <w:rsid w:val="007E30A1"/>
    <w:rsid w:val="007E35A3"/>
    <w:rsid w:val="007E4B5A"/>
    <w:rsid w:val="007F7748"/>
    <w:rsid w:val="008000A7"/>
    <w:rsid w:val="008018E0"/>
    <w:rsid w:val="008069D2"/>
    <w:rsid w:val="00810CCE"/>
    <w:rsid w:val="00815405"/>
    <w:rsid w:val="00822CE2"/>
    <w:rsid w:val="00826164"/>
    <w:rsid w:val="00830B1C"/>
    <w:rsid w:val="00830F82"/>
    <w:rsid w:val="008428C7"/>
    <w:rsid w:val="00845FD6"/>
    <w:rsid w:val="00847234"/>
    <w:rsid w:val="00857EF3"/>
    <w:rsid w:val="00860E75"/>
    <w:rsid w:val="00870DE4"/>
    <w:rsid w:val="00875FBA"/>
    <w:rsid w:val="00877D44"/>
    <w:rsid w:val="00880442"/>
    <w:rsid w:val="00884FAB"/>
    <w:rsid w:val="00885399"/>
    <w:rsid w:val="008868A2"/>
    <w:rsid w:val="0088771C"/>
    <w:rsid w:val="00890971"/>
    <w:rsid w:val="008931E8"/>
    <w:rsid w:val="0089576B"/>
    <w:rsid w:val="00897031"/>
    <w:rsid w:val="008A2389"/>
    <w:rsid w:val="008A3606"/>
    <w:rsid w:val="008A4AF5"/>
    <w:rsid w:val="008B081E"/>
    <w:rsid w:val="008B4005"/>
    <w:rsid w:val="008C3621"/>
    <w:rsid w:val="008D3749"/>
    <w:rsid w:val="008E23B1"/>
    <w:rsid w:val="008E4222"/>
    <w:rsid w:val="008F3893"/>
    <w:rsid w:val="008F3DFD"/>
    <w:rsid w:val="008F424A"/>
    <w:rsid w:val="008F6616"/>
    <w:rsid w:val="00902552"/>
    <w:rsid w:val="00902AC3"/>
    <w:rsid w:val="009030A4"/>
    <w:rsid w:val="00903A7F"/>
    <w:rsid w:val="00904DD5"/>
    <w:rsid w:val="00905CFC"/>
    <w:rsid w:val="009070E5"/>
    <w:rsid w:val="00913340"/>
    <w:rsid w:val="009220DE"/>
    <w:rsid w:val="00925BCC"/>
    <w:rsid w:val="00927026"/>
    <w:rsid w:val="00931D60"/>
    <w:rsid w:val="00931E3D"/>
    <w:rsid w:val="00932816"/>
    <w:rsid w:val="00933410"/>
    <w:rsid w:val="00935AA5"/>
    <w:rsid w:val="00941BCF"/>
    <w:rsid w:val="00941F7F"/>
    <w:rsid w:val="00944EA3"/>
    <w:rsid w:val="00951178"/>
    <w:rsid w:val="00952735"/>
    <w:rsid w:val="009529B4"/>
    <w:rsid w:val="00960FF1"/>
    <w:rsid w:val="0096635C"/>
    <w:rsid w:val="0097014B"/>
    <w:rsid w:val="00970502"/>
    <w:rsid w:val="00970E80"/>
    <w:rsid w:val="00972C79"/>
    <w:rsid w:val="00980EA6"/>
    <w:rsid w:val="009968C1"/>
    <w:rsid w:val="00996E7B"/>
    <w:rsid w:val="009A3341"/>
    <w:rsid w:val="009B3347"/>
    <w:rsid w:val="009B389B"/>
    <w:rsid w:val="009B46BA"/>
    <w:rsid w:val="009B6AD3"/>
    <w:rsid w:val="009B7AA1"/>
    <w:rsid w:val="009C2860"/>
    <w:rsid w:val="009C4515"/>
    <w:rsid w:val="009C54D3"/>
    <w:rsid w:val="009D010B"/>
    <w:rsid w:val="009D3376"/>
    <w:rsid w:val="009D4A6E"/>
    <w:rsid w:val="009E4DBE"/>
    <w:rsid w:val="009E5CF9"/>
    <w:rsid w:val="009E7072"/>
    <w:rsid w:val="009F0665"/>
    <w:rsid w:val="009F7EAF"/>
    <w:rsid w:val="00A0447E"/>
    <w:rsid w:val="00A068BD"/>
    <w:rsid w:val="00A11D35"/>
    <w:rsid w:val="00A11EEB"/>
    <w:rsid w:val="00A12582"/>
    <w:rsid w:val="00A144B8"/>
    <w:rsid w:val="00A24490"/>
    <w:rsid w:val="00A24A48"/>
    <w:rsid w:val="00A2516D"/>
    <w:rsid w:val="00A265FF"/>
    <w:rsid w:val="00A368A8"/>
    <w:rsid w:val="00A36E13"/>
    <w:rsid w:val="00A436CF"/>
    <w:rsid w:val="00A478D1"/>
    <w:rsid w:val="00A522E5"/>
    <w:rsid w:val="00A54828"/>
    <w:rsid w:val="00A553A7"/>
    <w:rsid w:val="00A567E2"/>
    <w:rsid w:val="00A64E0C"/>
    <w:rsid w:val="00A6628F"/>
    <w:rsid w:val="00A664B1"/>
    <w:rsid w:val="00A672FB"/>
    <w:rsid w:val="00A67445"/>
    <w:rsid w:val="00A7019A"/>
    <w:rsid w:val="00A7074C"/>
    <w:rsid w:val="00A7082F"/>
    <w:rsid w:val="00A70876"/>
    <w:rsid w:val="00A838C3"/>
    <w:rsid w:val="00A8533D"/>
    <w:rsid w:val="00A926EB"/>
    <w:rsid w:val="00A92BBC"/>
    <w:rsid w:val="00A9374E"/>
    <w:rsid w:val="00A97314"/>
    <w:rsid w:val="00AA036C"/>
    <w:rsid w:val="00AA1136"/>
    <w:rsid w:val="00AA11CD"/>
    <w:rsid w:val="00AA14AA"/>
    <w:rsid w:val="00AA4927"/>
    <w:rsid w:val="00AA6227"/>
    <w:rsid w:val="00AB0ACA"/>
    <w:rsid w:val="00AB6F1D"/>
    <w:rsid w:val="00AB757A"/>
    <w:rsid w:val="00AC208D"/>
    <w:rsid w:val="00AC7A41"/>
    <w:rsid w:val="00AD0B61"/>
    <w:rsid w:val="00AE0B68"/>
    <w:rsid w:val="00AE37D0"/>
    <w:rsid w:val="00AE3B9F"/>
    <w:rsid w:val="00AF06C8"/>
    <w:rsid w:val="00B0118C"/>
    <w:rsid w:val="00B02101"/>
    <w:rsid w:val="00B03FBB"/>
    <w:rsid w:val="00B04F1B"/>
    <w:rsid w:val="00B07174"/>
    <w:rsid w:val="00B14C20"/>
    <w:rsid w:val="00B30A31"/>
    <w:rsid w:val="00B317FF"/>
    <w:rsid w:val="00B31893"/>
    <w:rsid w:val="00B35C7B"/>
    <w:rsid w:val="00B36A25"/>
    <w:rsid w:val="00B45042"/>
    <w:rsid w:val="00B46D69"/>
    <w:rsid w:val="00B50976"/>
    <w:rsid w:val="00B538D7"/>
    <w:rsid w:val="00B54565"/>
    <w:rsid w:val="00B55006"/>
    <w:rsid w:val="00B57003"/>
    <w:rsid w:val="00B574E0"/>
    <w:rsid w:val="00B6040F"/>
    <w:rsid w:val="00B640D8"/>
    <w:rsid w:val="00B644D3"/>
    <w:rsid w:val="00B65EDC"/>
    <w:rsid w:val="00B67787"/>
    <w:rsid w:val="00B71732"/>
    <w:rsid w:val="00B717A6"/>
    <w:rsid w:val="00B750BB"/>
    <w:rsid w:val="00B7570D"/>
    <w:rsid w:val="00B76936"/>
    <w:rsid w:val="00B80F36"/>
    <w:rsid w:val="00B8201D"/>
    <w:rsid w:val="00B82354"/>
    <w:rsid w:val="00B835E2"/>
    <w:rsid w:val="00B83AEF"/>
    <w:rsid w:val="00B83EBA"/>
    <w:rsid w:val="00B84450"/>
    <w:rsid w:val="00B846B5"/>
    <w:rsid w:val="00B868DA"/>
    <w:rsid w:val="00B9556E"/>
    <w:rsid w:val="00B95753"/>
    <w:rsid w:val="00B9593B"/>
    <w:rsid w:val="00B95FFF"/>
    <w:rsid w:val="00B96EC8"/>
    <w:rsid w:val="00B97965"/>
    <w:rsid w:val="00BA155C"/>
    <w:rsid w:val="00BA1938"/>
    <w:rsid w:val="00BA4594"/>
    <w:rsid w:val="00BB291C"/>
    <w:rsid w:val="00BB3A97"/>
    <w:rsid w:val="00BC1A25"/>
    <w:rsid w:val="00BC3E57"/>
    <w:rsid w:val="00BC3E73"/>
    <w:rsid w:val="00BC5CF2"/>
    <w:rsid w:val="00BD110A"/>
    <w:rsid w:val="00BD3B3F"/>
    <w:rsid w:val="00BD6403"/>
    <w:rsid w:val="00BE5AB7"/>
    <w:rsid w:val="00BE7A9B"/>
    <w:rsid w:val="00BF09D2"/>
    <w:rsid w:val="00BF21B8"/>
    <w:rsid w:val="00BF29E6"/>
    <w:rsid w:val="00BF68BD"/>
    <w:rsid w:val="00BF7B75"/>
    <w:rsid w:val="00BF7C79"/>
    <w:rsid w:val="00C03D00"/>
    <w:rsid w:val="00C06E47"/>
    <w:rsid w:val="00C12943"/>
    <w:rsid w:val="00C139FC"/>
    <w:rsid w:val="00C15381"/>
    <w:rsid w:val="00C16413"/>
    <w:rsid w:val="00C17F5A"/>
    <w:rsid w:val="00C23BF6"/>
    <w:rsid w:val="00C24E5A"/>
    <w:rsid w:val="00C24F1B"/>
    <w:rsid w:val="00C2641E"/>
    <w:rsid w:val="00C311D3"/>
    <w:rsid w:val="00C329A9"/>
    <w:rsid w:val="00C34991"/>
    <w:rsid w:val="00C353AA"/>
    <w:rsid w:val="00C361E4"/>
    <w:rsid w:val="00C36A34"/>
    <w:rsid w:val="00C377D7"/>
    <w:rsid w:val="00C478A9"/>
    <w:rsid w:val="00C541A4"/>
    <w:rsid w:val="00C54F4D"/>
    <w:rsid w:val="00C57E4D"/>
    <w:rsid w:val="00C66FA3"/>
    <w:rsid w:val="00C67771"/>
    <w:rsid w:val="00C6791A"/>
    <w:rsid w:val="00C744F4"/>
    <w:rsid w:val="00C7503B"/>
    <w:rsid w:val="00C75A51"/>
    <w:rsid w:val="00C7623C"/>
    <w:rsid w:val="00C82165"/>
    <w:rsid w:val="00C824F1"/>
    <w:rsid w:val="00C83013"/>
    <w:rsid w:val="00C84DE8"/>
    <w:rsid w:val="00C860CC"/>
    <w:rsid w:val="00C90146"/>
    <w:rsid w:val="00C91245"/>
    <w:rsid w:val="00C91B97"/>
    <w:rsid w:val="00C93FEF"/>
    <w:rsid w:val="00C976FD"/>
    <w:rsid w:val="00CA4C38"/>
    <w:rsid w:val="00CA4E25"/>
    <w:rsid w:val="00CA6151"/>
    <w:rsid w:val="00CA700A"/>
    <w:rsid w:val="00CA70A1"/>
    <w:rsid w:val="00CB08C3"/>
    <w:rsid w:val="00CB4300"/>
    <w:rsid w:val="00CB48CC"/>
    <w:rsid w:val="00CC0EE3"/>
    <w:rsid w:val="00CC6FAD"/>
    <w:rsid w:val="00CD0581"/>
    <w:rsid w:val="00CD09EF"/>
    <w:rsid w:val="00CD2149"/>
    <w:rsid w:val="00CD2262"/>
    <w:rsid w:val="00CD5DCC"/>
    <w:rsid w:val="00CD7373"/>
    <w:rsid w:val="00CE2189"/>
    <w:rsid w:val="00CE3999"/>
    <w:rsid w:val="00CE6593"/>
    <w:rsid w:val="00CE6BF4"/>
    <w:rsid w:val="00CF0B68"/>
    <w:rsid w:val="00CF13CE"/>
    <w:rsid w:val="00CF4FEC"/>
    <w:rsid w:val="00D03F08"/>
    <w:rsid w:val="00D10C36"/>
    <w:rsid w:val="00D12CB6"/>
    <w:rsid w:val="00D14077"/>
    <w:rsid w:val="00D245B3"/>
    <w:rsid w:val="00D27B8D"/>
    <w:rsid w:val="00D27D18"/>
    <w:rsid w:val="00D34830"/>
    <w:rsid w:val="00D3589C"/>
    <w:rsid w:val="00D358FE"/>
    <w:rsid w:val="00D47547"/>
    <w:rsid w:val="00D47577"/>
    <w:rsid w:val="00D52F60"/>
    <w:rsid w:val="00D543A1"/>
    <w:rsid w:val="00D559C4"/>
    <w:rsid w:val="00D560DB"/>
    <w:rsid w:val="00D60D2C"/>
    <w:rsid w:val="00D614BD"/>
    <w:rsid w:val="00D61962"/>
    <w:rsid w:val="00D63C65"/>
    <w:rsid w:val="00D64D53"/>
    <w:rsid w:val="00D6737A"/>
    <w:rsid w:val="00D72087"/>
    <w:rsid w:val="00D749BC"/>
    <w:rsid w:val="00D75A7A"/>
    <w:rsid w:val="00D76FE5"/>
    <w:rsid w:val="00D82D1C"/>
    <w:rsid w:val="00D839D9"/>
    <w:rsid w:val="00D84C3C"/>
    <w:rsid w:val="00D8603D"/>
    <w:rsid w:val="00D922CE"/>
    <w:rsid w:val="00D95F02"/>
    <w:rsid w:val="00D967E5"/>
    <w:rsid w:val="00DA1559"/>
    <w:rsid w:val="00DA3091"/>
    <w:rsid w:val="00DA33BC"/>
    <w:rsid w:val="00DB1608"/>
    <w:rsid w:val="00DB26EF"/>
    <w:rsid w:val="00DB2945"/>
    <w:rsid w:val="00DC2678"/>
    <w:rsid w:val="00DC41C6"/>
    <w:rsid w:val="00DC799B"/>
    <w:rsid w:val="00DD2728"/>
    <w:rsid w:val="00DD2959"/>
    <w:rsid w:val="00DD2DEE"/>
    <w:rsid w:val="00DD37FB"/>
    <w:rsid w:val="00DD38DC"/>
    <w:rsid w:val="00DD50F1"/>
    <w:rsid w:val="00DE1E91"/>
    <w:rsid w:val="00DE1F8A"/>
    <w:rsid w:val="00DE33C3"/>
    <w:rsid w:val="00DE7D05"/>
    <w:rsid w:val="00DF1794"/>
    <w:rsid w:val="00DF1876"/>
    <w:rsid w:val="00DF4EA4"/>
    <w:rsid w:val="00DF6C27"/>
    <w:rsid w:val="00E00402"/>
    <w:rsid w:val="00E009F1"/>
    <w:rsid w:val="00E04C9F"/>
    <w:rsid w:val="00E062C3"/>
    <w:rsid w:val="00E06C47"/>
    <w:rsid w:val="00E114B5"/>
    <w:rsid w:val="00E138EF"/>
    <w:rsid w:val="00E1507F"/>
    <w:rsid w:val="00E1612D"/>
    <w:rsid w:val="00E265CE"/>
    <w:rsid w:val="00E30020"/>
    <w:rsid w:val="00E34C4C"/>
    <w:rsid w:val="00E34CF2"/>
    <w:rsid w:val="00E36BC5"/>
    <w:rsid w:val="00E40931"/>
    <w:rsid w:val="00E42924"/>
    <w:rsid w:val="00E441D4"/>
    <w:rsid w:val="00E44390"/>
    <w:rsid w:val="00E470A1"/>
    <w:rsid w:val="00E54A16"/>
    <w:rsid w:val="00E54FD5"/>
    <w:rsid w:val="00E56A53"/>
    <w:rsid w:val="00E57C79"/>
    <w:rsid w:val="00E60129"/>
    <w:rsid w:val="00E6237E"/>
    <w:rsid w:val="00E62710"/>
    <w:rsid w:val="00E63001"/>
    <w:rsid w:val="00E636E4"/>
    <w:rsid w:val="00E65D50"/>
    <w:rsid w:val="00E704E8"/>
    <w:rsid w:val="00E7234B"/>
    <w:rsid w:val="00E756F5"/>
    <w:rsid w:val="00E8273A"/>
    <w:rsid w:val="00E85508"/>
    <w:rsid w:val="00E86FBB"/>
    <w:rsid w:val="00E920EA"/>
    <w:rsid w:val="00E92132"/>
    <w:rsid w:val="00E9214B"/>
    <w:rsid w:val="00E971B0"/>
    <w:rsid w:val="00EB7813"/>
    <w:rsid w:val="00EC0F3D"/>
    <w:rsid w:val="00EC2189"/>
    <w:rsid w:val="00EC576D"/>
    <w:rsid w:val="00EC7619"/>
    <w:rsid w:val="00ED66FE"/>
    <w:rsid w:val="00EE042F"/>
    <w:rsid w:val="00EE3AEA"/>
    <w:rsid w:val="00EE3F05"/>
    <w:rsid w:val="00EE4CD3"/>
    <w:rsid w:val="00EE5099"/>
    <w:rsid w:val="00EE6A8E"/>
    <w:rsid w:val="00EE754E"/>
    <w:rsid w:val="00EF10B4"/>
    <w:rsid w:val="00EF38EF"/>
    <w:rsid w:val="00EF4C47"/>
    <w:rsid w:val="00EF643C"/>
    <w:rsid w:val="00EF6B31"/>
    <w:rsid w:val="00F0225F"/>
    <w:rsid w:val="00F04324"/>
    <w:rsid w:val="00F06811"/>
    <w:rsid w:val="00F07BEC"/>
    <w:rsid w:val="00F2033C"/>
    <w:rsid w:val="00F21588"/>
    <w:rsid w:val="00F218B3"/>
    <w:rsid w:val="00F23150"/>
    <w:rsid w:val="00F2758F"/>
    <w:rsid w:val="00F3259E"/>
    <w:rsid w:val="00F37A4C"/>
    <w:rsid w:val="00F42012"/>
    <w:rsid w:val="00F502E6"/>
    <w:rsid w:val="00F5085E"/>
    <w:rsid w:val="00F56211"/>
    <w:rsid w:val="00F6480B"/>
    <w:rsid w:val="00F70716"/>
    <w:rsid w:val="00F7354F"/>
    <w:rsid w:val="00F73F56"/>
    <w:rsid w:val="00F752CA"/>
    <w:rsid w:val="00F76E7C"/>
    <w:rsid w:val="00F80DED"/>
    <w:rsid w:val="00F8100A"/>
    <w:rsid w:val="00F85E32"/>
    <w:rsid w:val="00F8745E"/>
    <w:rsid w:val="00F878A9"/>
    <w:rsid w:val="00F87D11"/>
    <w:rsid w:val="00F87DC8"/>
    <w:rsid w:val="00F92BEF"/>
    <w:rsid w:val="00F93512"/>
    <w:rsid w:val="00F96588"/>
    <w:rsid w:val="00F9673E"/>
    <w:rsid w:val="00FA19DD"/>
    <w:rsid w:val="00FA4731"/>
    <w:rsid w:val="00FB1402"/>
    <w:rsid w:val="00FB3203"/>
    <w:rsid w:val="00FB366D"/>
    <w:rsid w:val="00FB6830"/>
    <w:rsid w:val="00FB7C14"/>
    <w:rsid w:val="00FB7D12"/>
    <w:rsid w:val="00FC2630"/>
    <w:rsid w:val="00FC3A17"/>
    <w:rsid w:val="00FC3FC8"/>
    <w:rsid w:val="00FC68AC"/>
    <w:rsid w:val="00FD2770"/>
    <w:rsid w:val="00FD2CDF"/>
    <w:rsid w:val="00FD34F4"/>
    <w:rsid w:val="00FE0228"/>
    <w:rsid w:val="00FE0FF7"/>
    <w:rsid w:val="00FE1041"/>
    <w:rsid w:val="00FE162F"/>
    <w:rsid w:val="00FE541A"/>
    <w:rsid w:val="00FE6138"/>
    <w:rsid w:val="00FE6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12C3"/>
  <w15:chartTrackingRefBased/>
  <w15:docId w15:val="{C50C15A6-8F6E-4E15-8B4F-6832FC11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17"/>
  </w:style>
  <w:style w:type="paragraph" w:styleId="Balk1">
    <w:name w:val="heading 1"/>
    <w:basedOn w:val="Normal"/>
    <w:next w:val="Normal"/>
    <w:link w:val="Balk1Char"/>
    <w:uiPriority w:val="9"/>
    <w:qFormat/>
    <w:rsid w:val="00FC3A17"/>
    <w:pPr>
      <w:keepNext/>
      <w:keepLines/>
      <w:pBdr>
        <w:left w:val="single" w:sz="12" w:space="12" w:color="E9713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alk2">
    <w:name w:val="heading 2"/>
    <w:basedOn w:val="Normal"/>
    <w:next w:val="Normal"/>
    <w:link w:val="Balk2Char"/>
    <w:uiPriority w:val="9"/>
    <w:semiHidden/>
    <w:unhideWhenUsed/>
    <w:qFormat/>
    <w:rsid w:val="00FC3A17"/>
    <w:pPr>
      <w:keepNext/>
      <w:keepLines/>
      <w:spacing w:before="120" w:after="0" w:line="240" w:lineRule="auto"/>
      <w:outlineLvl w:val="1"/>
    </w:pPr>
    <w:rPr>
      <w:rFonts w:asciiTheme="majorHAnsi" w:eastAsiaTheme="majorEastAsia" w:hAnsiTheme="majorHAnsi" w:cstheme="majorBidi"/>
      <w:sz w:val="36"/>
      <w:szCs w:val="36"/>
    </w:rPr>
  </w:style>
  <w:style w:type="paragraph" w:styleId="Balk3">
    <w:name w:val="heading 3"/>
    <w:basedOn w:val="Normal"/>
    <w:next w:val="Normal"/>
    <w:link w:val="Balk3Char"/>
    <w:uiPriority w:val="9"/>
    <w:semiHidden/>
    <w:unhideWhenUsed/>
    <w:qFormat/>
    <w:rsid w:val="00FC3A17"/>
    <w:pPr>
      <w:keepNext/>
      <w:keepLines/>
      <w:spacing w:before="80" w:after="0" w:line="240" w:lineRule="auto"/>
      <w:outlineLvl w:val="2"/>
    </w:pPr>
    <w:rPr>
      <w:rFonts w:asciiTheme="majorHAnsi" w:eastAsiaTheme="majorEastAsia" w:hAnsiTheme="majorHAnsi" w:cstheme="majorBidi"/>
      <w:caps/>
      <w:sz w:val="28"/>
      <w:szCs w:val="28"/>
    </w:rPr>
  </w:style>
  <w:style w:type="paragraph" w:styleId="Balk4">
    <w:name w:val="heading 4"/>
    <w:basedOn w:val="Normal"/>
    <w:next w:val="Normal"/>
    <w:link w:val="Balk4Char"/>
    <w:uiPriority w:val="9"/>
    <w:semiHidden/>
    <w:unhideWhenUsed/>
    <w:qFormat/>
    <w:rsid w:val="00FC3A17"/>
    <w:pPr>
      <w:keepNext/>
      <w:keepLines/>
      <w:spacing w:before="80" w:after="0" w:line="240" w:lineRule="auto"/>
      <w:outlineLvl w:val="3"/>
    </w:pPr>
    <w:rPr>
      <w:rFonts w:asciiTheme="majorHAnsi" w:eastAsiaTheme="majorEastAsia" w:hAnsiTheme="majorHAnsi" w:cstheme="majorBidi"/>
      <w:i/>
      <w:iCs/>
      <w:sz w:val="28"/>
      <w:szCs w:val="28"/>
    </w:rPr>
  </w:style>
  <w:style w:type="paragraph" w:styleId="Balk5">
    <w:name w:val="heading 5"/>
    <w:basedOn w:val="Normal"/>
    <w:next w:val="Normal"/>
    <w:link w:val="Balk5Char"/>
    <w:uiPriority w:val="9"/>
    <w:semiHidden/>
    <w:unhideWhenUsed/>
    <w:qFormat/>
    <w:rsid w:val="00FC3A17"/>
    <w:pPr>
      <w:keepNext/>
      <w:keepLines/>
      <w:spacing w:before="80" w:after="0" w:line="240" w:lineRule="auto"/>
      <w:outlineLvl w:val="4"/>
    </w:pPr>
    <w:rPr>
      <w:rFonts w:asciiTheme="majorHAnsi" w:eastAsiaTheme="majorEastAsia" w:hAnsiTheme="majorHAnsi" w:cstheme="majorBidi"/>
      <w:sz w:val="24"/>
      <w:szCs w:val="24"/>
    </w:rPr>
  </w:style>
  <w:style w:type="paragraph" w:styleId="Balk6">
    <w:name w:val="heading 6"/>
    <w:basedOn w:val="Normal"/>
    <w:next w:val="Normal"/>
    <w:link w:val="Balk6Char"/>
    <w:uiPriority w:val="9"/>
    <w:semiHidden/>
    <w:unhideWhenUsed/>
    <w:qFormat/>
    <w:rsid w:val="00FC3A17"/>
    <w:pPr>
      <w:keepNext/>
      <w:keepLines/>
      <w:spacing w:before="80" w:after="0" w:line="240" w:lineRule="auto"/>
      <w:outlineLvl w:val="5"/>
    </w:pPr>
    <w:rPr>
      <w:rFonts w:asciiTheme="majorHAnsi" w:eastAsiaTheme="majorEastAsia" w:hAnsiTheme="majorHAnsi" w:cstheme="majorBidi"/>
      <w:i/>
      <w:iCs/>
      <w:sz w:val="24"/>
      <w:szCs w:val="24"/>
    </w:rPr>
  </w:style>
  <w:style w:type="paragraph" w:styleId="Balk7">
    <w:name w:val="heading 7"/>
    <w:basedOn w:val="Normal"/>
    <w:next w:val="Normal"/>
    <w:link w:val="Balk7Char"/>
    <w:uiPriority w:val="9"/>
    <w:semiHidden/>
    <w:unhideWhenUsed/>
    <w:qFormat/>
    <w:rsid w:val="00FC3A1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FC3A17"/>
    <w:pPr>
      <w:keepNext/>
      <w:keepLines/>
      <w:spacing w:before="80" w:after="0" w:line="240" w:lineRule="auto"/>
      <w:outlineLvl w:val="7"/>
    </w:pPr>
    <w:rPr>
      <w:rFonts w:asciiTheme="majorHAnsi" w:eastAsiaTheme="majorEastAsia" w:hAnsiTheme="majorHAnsi" w:cstheme="majorBidi"/>
      <w:caps/>
    </w:rPr>
  </w:style>
  <w:style w:type="paragraph" w:styleId="Balk9">
    <w:name w:val="heading 9"/>
    <w:basedOn w:val="Normal"/>
    <w:next w:val="Normal"/>
    <w:link w:val="Balk9Char"/>
    <w:uiPriority w:val="9"/>
    <w:semiHidden/>
    <w:unhideWhenUsed/>
    <w:qFormat/>
    <w:rsid w:val="00FC3A17"/>
    <w:pPr>
      <w:keepNext/>
      <w:keepLines/>
      <w:spacing w:before="80" w:after="0" w:line="240" w:lineRule="auto"/>
      <w:outlineLvl w:val="8"/>
    </w:pPr>
    <w:rPr>
      <w:rFonts w:asciiTheme="majorHAnsi" w:eastAsiaTheme="majorEastAsia" w:hAnsiTheme="majorHAnsi" w:cstheme="majorBidi"/>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3A17"/>
    <w:rPr>
      <w:rFonts w:asciiTheme="majorHAnsi" w:eastAsiaTheme="majorEastAsia" w:hAnsiTheme="majorHAnsi" w:cstheme="majorBidi"/>
      <w:caps/>
      <w:spacing w:val="10"/>
      <w:sz w:val="36"/>
      <w:szCs w:val="36"/>
    </w:rPr>
  </w:style>
  <w:style w:type="character" w:customStyle="1" w:styleId="Balk2Char">
    <w:name w:val="Başlık 2 Char"/>
    <w:basedOn w:val="VarsaylanParagrafYazTipi"/>
    <w:link w:val="Balk2"/>
    <w:uiPriority w:val="9"/>
    <w:semiHidden/>
    <w:rsid w:val="00FC3A17"/>
    <w:rPr>
      <w:rFonts w:asciiTheme="majorHAnsi" w:eastAsiaTheme="majorEastAsia" w:hAnsiTheme="majorHAnsi" w:cstheme="majorBidi"/>
      <w:sz w:val="36"/>
      <w:szCs w:val="36"/>
    </w:rPr>
  </w:style>
  <w:style w:type="character" w:customStyle="1" w:styleId="Balk3Char">
    <w:name w:val="Başlık 3 Char"/>
    <w:basedOn w:val="VarsaylanParagrafYazTipi"/>
    <w:link w:val="Balk3"/>
    <w:uiPriority w:val="9"/>
    <w:semiHidden/>
    <w:rsid w:val="00FC3A17"/>
    <w:rPr>
      <w:rFonts w:asciiTheme="majorHAnsi" w:eastAsiaTheme="majorEastAsia" w:hAnsiTheme="majorHAnsi" w:cstheme="majorBidi"/>
      <w:caps/>
      <w:sz w:val="28"/>
      <w:szCs w:val="28"/>
    </w:rPr>
  </w:style>
  <w:style w:type="character" w:customStyle="1" w:styleId="Balk4Char">
    <w:name w:val="Başlık 4 Char"/>
    <w:basedOn w:val="VarsaylanParagrafYazTipi"/>
    <w:link w:val="Balk4"/>
    <w:uiPriority w:val="9"/>
    <w:semiHidden/>
    <w:rsid w:val="00FC3A17"/>
    <w:rPr>
      <w:rFonts w:asciiTheme="majorHAnsi" w:eastAsiaTheme="majorEastAsia" w:hAnsiTheme="majorHAnsi" w:cstheme="majorBidi"/>
      <w:i/>
      <w:iCs/>
      <w:sz w:val="28"/>
      <w:szCs w:val="28"/>
    </w:rPr>
  </w:style>
  <w:style w:type="character" w:customStyle="1" w:styleId="Balk5Char">
    <w:name w:val="Başlık 5 Char"/>
    <w:basedOn w:val="VarsaylanParagrafYazTipi"/>
    <w:link w:val="Balk5"/>
    <w:uiPriority w:val="9"/>
    <w:semiHidden/>
    <w:rsid w:val="00FC3A17"/>
    <w:rPr>
      <w:rFonts w:asciiTheme="majorHAnsi" w:eastAsiaTheme="majorEastAsia" w:hAnsiTheme="majorHAnsi" w:cstheme="majorBidi"/>
      <w:sz w:val="24"/>
      <w:szCs w:val="24"/>
    </w:rPr>
  </w:style>
  <w:style w:type="character" w:customStyle="1" w:styleId="Balk6Char">
    <w:name w:val="Başlık 6 Char"/>
    <w:basedOn w:val="VarsaylanParagrafYazTipi"/>
    <w:link w:val="Balk6"/>
    <w:uiPriority w:val="9"/>
    <w:semiHidden/>
    <w:rsid w:val="00FC3A17"/>
    <w:rPr>
      <w:rFonts w:asciiTheme="majorHAnsi" w:eastAsiaTheme="majorEastAsia" w:hAnsiTheme="majorHAnsi" w:cstheme="majorBidi"/>
      <w:i/>
      <w:iCs/>
      <w:sz w:val="24"/>
      <w:szCs w:val="24"/>
    </w:rPr>
  </w:style>
  <w:style w:type="character" w:customStyle="1" w:styleId="Balk7Char">
    <w:name w:val="Başlık 7 Char"/>
    <w:basedOn w:val="VarsaylanParagrafYazTipi"/>
    <w:link w:val="Balk7"/>
    <w:uiPriority w:val="9"/>
    <w:semiHidden/>
    <w:rsid w:val="00FC3A17"/>
    <w:rPr>
      <w:rFonts w:asciiTheme="majorHAnsi" w:eastAsiaTheme="majorEastAsia" w:hAnsiTheme="majorHAnsi" w:cstheme="majorBidi"/>
      <w:color w:val="595959" w:themeColor="text1" w:themeTint="A6"/>
      <w:sz w:val="24"/>
      <w:szCs w:val="24"/>
    </w:rPr>
  </w:style>
  <w:style w:type="character" w:customStyle="1" w:styleId="Balk8Char">
    <w:name w:val="Başlık 8 Char"/>
    <w:basedOn w:val="VarsaylanParagrafYazTipi"/>
    <w:link w:val="Balk8"/>
    <w:uiPriority w:val="9"/>
    <w:semiHidden/>
    <w:rsid w:val="00FC3A17"/>
    <w:rPr>
      <w:rFonts w:asciiTheme="majorHAnsi" w:eastAsiaTheme="majorEastAsia" w:hAnsiTheme="majorHAnsi" w:cstheme="majorBidi"/>
      <w:caps/>
    </w:rPr>
  </w:style>
  <w:style w:type="character" w:customStyle="1" w:styleId="Balk9Char">
    <w:name w:val="Başlık 9 Char"/>
    <w:basedOn w:val="VarsaylanParagrafYazTipi"/>
    <w:link w:val="Balk9"/>
    <w:uiPriority w:val="9"/>
    <w:semiHidden/>
    <w:rsid w:val="00FC3A17"/>
    <w:rPr>
      <w:rFonts w:asciiTheme="majorHAnsi" w:eastAsiaTheme="majorEastAsia" w:hAnsiTheme="majorHAnsi" w:cstheme="majorBidi"/>
      <w:i/>
      <w:iCs/>
      <w:caps/>
    </w:rPr>
  </w:style>
  <w:style w:type="paragraph" w:styleId="KonuBal">
    <w:name w:val="Title"/>
    <w:basedOn w:val="Normal"/>
    <w:next w:val="Normal"/>
    <w:link w:val="KonuBalChar"/>
    <w:uiPriority w:val="10"/>
    <w:qFormat/>
    <w:rsid w:val="00FC3A17"/>
    <w:pPr>
      <w:spacing w:after="0" w:line="240" w:lineRule="auto"/>
      <w:contextualSpacing/>
    </w:pPr>
    <w:rPr>
      <w:rFonts w:asciiTheme="majorHAnsi" w:eastAsiaTheme="majorEastAsia" w:hAnsiTheme="majorHAnsi" w:cstheme="majorBidi"/>
      <w:caps/>
      <w:spacing w:val="40"/>
      <w:sz w:val="76"/>
      <w:szCs w:val="76"/>
    </w:rPr>
  </w:style>
  <w:style w:type="character" w:customStyle="1" w:styleId="KonuBalChar">
    <w:name w:val="Konu Başlığı Char"/>
    <w:basedOn w:val="VarsaylanParagrafYazTipi"/>
    <w:link w:val="KonuBal"/>
    <w:uiPriority w:val="10"/>
    <w:rsid w:val="00FC3A17"/>
    <w:rPr>
      <w:rFonts w:asciiTheme="majorHAnsi" w:eastAsiaTheme="majorEastAsia" w:hAnsiTheme="majorHAnsi" w:cstheme="majorBidi"/>
      <w:caps/>
      <w:spacing w:val="40"/>
      <w:sz w:val="76"/>
      <w:szCs w:val="76"/>
    </w:rPr>
  </w:style>
  <w:style w:type="paragraph" w:styleId="Altyaz">
    <w:name w:val="Subtitle"/>
    <w:basedOn w:val="Normal"/>
    <w:next w:val="Normal"/>
    <w:link w:val="AltyazChar"/>
    <w:uiPriority w:val="11"/>
    <w:qFormat/>
    <w:rsid w:val="00FC3A17"/>
    <w:pPr>
      <w:numPr>
        <w:ilvl w:val="1"/>
      </w:numPr>
      <w:spacing w:after="240"/>
    </w:pPr>
    <w:rPr>
      <w:color w:val="000000" w:themeColor="text1"/>
      <w:sz w:val="24"/>
      <w:szCs w:val="24"/>
    </w:rPr>
  </w:style>
  <w:style w:type="character" w:customStyle="1" w:styleId="AltyazChar">
    <w:name w:val="Altyazı Char"/>
    <w:basedOn w:val="VarsaylanParagrafYazTipi"/>
    <w:link w:val="Altyaz"/>
    <w:uiPriority w:val="11"/>
    <w:rsid w:val="00FC3A17"/>
    <w:rPr>
      <w:color w:val="000000" w:themeColor="text1"/>
      <w:sz w:val="24"/>
      <w:szCs w:val="24"/>
    </w:rPr>
  </w:style>
  <w:style w:type="paragraph" w:styleId="Alnt">
    <w:name w:val="Quote"/>
    <w:basedOn w:val="Normal"/>
    <w:next w:val="Normal"/>
    <w:link w:val="AlntChar"/>
    <w:uiPriority w:val="29"/>
    <w:qFormat/>
    <w:rsid w:val="00FC3A17"/>
    <w:pPr>
      <w:spacing w:before="160"/>
      <w:ind w:left="720"/>
    </w:pPr>
    <w:rPr>
      <w:rFonts w:asciiTheme="majorHAnsi" w:eastAsiaTheme="majorEastAsia" w:hAnsiTheme="majorHAnsi" w:cstheme="majorBidi"/>
      <w:sz w:val="24"/>
      <w:szCs w:val="24"/>
    </w:rPr>
  </w:style>
  <w:style w:type="character" w:customStyle="1" w:styleId="AlntChar">
    <w:name w:val="Alıntı Char"/>
    <w:basedOn w:val="VarsaylanParagrafYazTipi"/>
    <w:link w:val="Alnt"/>
    <w:uiPriority w:val="29"/>
    <w:rsid w:val="00FC3A17"/>
    <w:rPr>
      <w:rFonts w:asciiTheme="majorHAnsi" w:eastAsiaTheme="majorEastAsia" w:hAnsiTheme="majorHAnsi" w:cstheme="majorBidi"/>
      <w:sz w:val="24"/>
      <w:szCs w:val="24"/>
    </w:rPr>
  </w:style>
  <w:style w:type="paragraph" w:styleId="ListeParagraf">
    <w:name w:val="List Paragraph"/>
    <w:basedOn w:val="Normal"/>
    <w:uiPriority w:val="34"/>
    <w:qFormat/>
    <w:rsid w:val="00002FAD"/>
    <w:pPr>
      <w:ind w:left="720"/>
      <w:contextualSpacing/>
    </w:pPr>
  </w:style>
  <w:style w:type="character" w:styleId="GlVurgulama">
    <w:name w:val="Intense Emphasis"/>
    <w:basedOn w:val="VarsaylanParagrafYazTipi"/>
    <w:uiPriority w:val="21"/>
    <w:qFormat/>
    <w:rsid w:val="00FC3A17"/>
    <w:rPr>
      <w:rFonts w:asciiTheme="minorHAnsi" w:eastAsiaTheme="minorEastAsia" w:hAnsiTheme="minorHAnsi" w:cstheme="minorBidi"/>
      <w:b/>
      <w:bCs/>
      <w:i/>
      <w:iCs/>
      <w:color w:val="BF4E14" w:themeColor="accent2" w:themeShade="BF"/>
      <w:spacing w:val="0"/>
      <w:w w:val="100"/>
      <w:position w:val="0"/>
      <w:sz w:val="20"/>
      <w:szCs w:val="20"/>
    </w:rPr>
  </w:style>
  <w:style w:type="paragraph" w:styleId="GlAlnt">
    <w:name w:val="Intense Quote"/>
    <w:basedOn w:val="Normal"/>
    <w:next w:val="Normal"/>
    <w:link w:val="GlAlntChar"/>
    <w:uiPriority w:val="30"/>
    <w:qFormat/>
    <w:rsid w:val="00FC3A17"/>
    <w:pPr>
      <w:spacing w:before="100" w:beforeAutospacing="1" w:after="240"/>
      <w:ind w:left="936" w:right="936"/>
      <w:jc w:val="center"/>
    </w:pPr>
    <w:rPr>
      <w:rFonts w:asciiTheme="majorHAnsi" w:eastAsiaTheme="majorEastAsia" w:hAnsiTheme="majorHAnsi" w:cstheme="majorBidi"/>
      <w:caps/>
      <w:color w:val="BF4E14" w:themeColor="accent2" w:themeShade="BF"/>
      <w:spacing w:val="10"/>
      <w:sz w:val="28"/>
      <w:szCs w:val="28"/>
    </w:rPr>
  </w:style>
  <w:style w:type="character" w:customStyle="1" w:styleId="GlAlntChar">
    <w:name w:val="Güçlü Alıntı Char"/>
    <w:basedOn w:val="VarsaylanParagrafYazTipi"/>
    <w:link w:val="GlAlnt"/>
    <w:uiPriority w:val="30"/>
    <w:rsid w:val="00FC3A17"/>
    <w:rPr>
      <w:rFonts w:asciiTheme="majorHAnsi" w:eastAsiaTheme="majorEastAsia" w:hAnsiTheme="majorHAnsi" w:cstheme="majorBidi"/>
      <w:caps/>
      <w:color w:val="BF4E14" w:themeColor="accent2" w:themeShade="BF"/>
      <w:spacing w:val="10"/>
      <w:sz w:val="28"/>
      <w:szCs w:val="28"/>
    </w:rPr>
  </w:style>
  <w:style w:type="character" w:styleId="GlBavuru">
    <w:name w:val="Intense Reference"/>
    <w:basedOn w:val="VarsaylanParagrafYazTipi"/>
    <w:uiPriority w:val="32"/>
    <w:qFormat/>
    <w:rsid w:val="00FC3A1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table" w:styleId="TabloKlavuzu">
    <w:name w:val="Table Grid"/>
    <w:basedOn w:val="NormalTablo"/>
    <w:uiPriority w:val="39"/>
    <w:rsid w:val="00BF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6577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65778"/>
    <w:rPr>
      <w:sz w:val="20"/>
      <w:szCs w:val="20"/>
    </w:rPr>
  </w:style>
  <w:style w:type="character" w:styleId="DipnotBavurusu">
    <w:name w:val="footnote reference"/>
    <w:basedOn w:val="VarsaylanParagrafYazTipi"/>
    <w:uiPriority w:val="99"/>
    <w:semiHidden/>
    <w:unhideWhenUsed/>
    <w:rsid w:val="00465778"/>
    <w:rPr>
      <w:vertAlign w:val="superscript"/>
    </w:rPr>
  </w:style>
  <w:style w:type="character" w:styleId="Kpr">
    <w:name w:val="Hyperlink"/>
    <w:basedOn w:val="VarsaylanParagrafYazTipi"/>
    <w:uiPriority w:val="99"/>
    <w:unhideWhenUsed/>
    <w:rsid w:val="00B50976"/>
    <w:rPr>
      <w:color w:val="0563C1"/>
      <w:u w:val="single"/>
    </w:rPr>
  </w:style>
  <w:style w:type="paragraph" w:styleId="ResimYazs">
    <w:name w:val="caption"/>
    <w:basedOn w:val="Normal"/>
    <w:next w:val="Normal"/>
    <w:uiPriority w:val="35"/>
    <w:unhideWhenUsed/>
    <w:qFormat/>
    <w:rsid w:val="00FC3A17"/>
    <w:pPr>
      <w:spacing w:line="240" w:lineRule="auto"/>
    </w:pPr>
    <w:rPr>
      <w:b/>
      <w:bCs/>
      <w:color w:val="E97132" w:themeColor="accent2"/>
      <w:spacing w:val="10"/>
      <w:sz w:val="16"/>
      <w:szCs w:val="16"/>
    </w:rPr>
  </w:style>
  <w:style w:type="character" w:styleId="Gl">
    <w:name w:val="Strong"/>
    <w:basedOn w:val="VarsaylanParagrafYazTipi"/>
    <w:uiPriority w:val="22"/>
    <w:qFormat/>
    <w:rsid w:val="00FC3A17"/>
    <w:rPr>
      <w:rFonts w:asciiTheme="minorHAnsi" w:eastAsiaTheme="minorEastAsia" w:hAnsiTheme="minorHAnsi" w:cstheme="minorBidi"/>
      <w:b/>
      <w:bCs/>
      <w:spacing w:val="0"/>
      <w:w w:val="100"/>
      <w:position w:val="0"/>
      <w:sz w:val="20"/>
      <w:szCs w:val="20"/>
    </w:rPr>
  </w:style>
  <w:style w:type="character" w:styleId="Vurgu">
    <w:name w:val="Emphasis"/>
    <w:basedOn w:val="VarsaylanParagrafYazTipi"/>
    <w:uiPriority w:val="20"/>
    <w:qFormat/>
    <w:rsid w:val="00FC3A17"/>
    <w:rPr>
      <w:rFonts w:asciiTheme="minorHAnsi" w:eastAsiaTheme="minorEastAsia" w:hAnsiTheme="minorHAnsi" w:cstheme="minorBidi"/>
      <w:i/>
      <w:iCs/>
      <w:color w:val="BF4E14" w:themeColor="accent2" w:themeShade="BF"/>
      <w:sz w:val="20"/>
      <w:szCs w:val="20"/>
    </w:rPr>
  </w:style>
  <w:style w:type="paragraph" w:styleId="AralkYok">
    <w:name w:val="No Spacing"/>
    <w:uiPriority w:val="1"/>
    <w:qFormat/>
    <w:rsid w:val="00FC3A17"/>
    <w:pPr>
      <w:spacing w:after="0" w:line="240" w:lineRule="auto"/>
    </w:pPr>
  </w:style>
  <w:style w:type="character" w:styleId="HafifVurgulama">
    <w:name w:val="Subtle Emphasis"/>
    <w:basedOn w:val="VarsaylanParagrafYazTipi"/>
    <w:uiPriority w:val="19"/>
    <w:qFormat/>
    <w:rsid w:val="00FC3A17"/>
    <w:rPr>
      <w:i/>
      <w:iCs/>
      <w:color w:val="auto"/>
    </w:rPr>
  </w:style>
  <w:style w:type="character" w:styleId="HafifBavuru">
    <w:name w:val="Subtle Reference"/>
    <w:basedOn w:val="VarsaylanParagrafYazTipi"/>
    <w:uiPriority w:val="31"/>
    <w:qFormat/>
    <w:rsid w:val="00FC3A1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itapBal">
    <w:name w:val="Book Title"/>
    <w:basedOn w:val="VarsaylanParagrafYazTipi"/>
    <w:uiPriority w:val="33"/>
    <w:qFormat/>
    <w:rsid w:val="00FC3A17"/>
    <w:rPr>
      <w:rFonts w:asciiTheme="minorHAnsi" w:eastAsiaTheme="minorEastAsia" w:hAnsiTheme="minorHAnsi" w:cstheme="minorBidi"/>
      <w:b/>
      <w:bCs/>
      <w:i/>
      <w:iCs/>
      <w:caps w:val="0"/>
      <w:smallCaps w:val="0"/>
      <w:color w:val="auto"/>
      <w:spacing w:val="10"/>
      <w:w w:val="100"/>
      <w:sz w:val="20"/>
      <w:szCs w:val="20"/>
    </w:rPr>
  </w:style>
  <w:style w:type="paragraph" w:styleId="TBal">
    <w:name w:val="TOC Heading"/>
    <w:basedOn w:val="Balk1"/>
    <w:next w:val="Normal"/>
    <w:uiPriority w:val="39"/>
    <w:semiHidden/>
    <w:unhideWhenUsed/>
    <w:qFormat/>
    <w:rsid w:val="00FC3A17"/>
    <w:pPr>
      <w:outlineLvl w:val="9"/>
    </w:pPr>
  </w:style>
  <w:style w:type="character" w:styleId="zmlenmeyenBahsetme">
    <w:name w:val="Unresolved Mention"/>
    <w:basedOn w:val="VarsaylanParagrafYazTipi"/>
    <w:uiPriority w:val="99"/>
    <w:semiHidden/>
    <w:unhideWhenUsed/>
    <w:rsid w:val="00970E80"/>
    <w:rPr>
      <w:color w:val="605E5C"/>
      <w:shd w:val="clear" w:color="auto" w:fill="E1DFDD"/>
    </w:rPr>
  </w:style>
  <w:style w:type="paragraph" w:styleId="stBilgi">
    <w:name w:val="header"/>
    <w:basedOn w:val="Normal"/>
    <w:link w:val="stBilgiChar"/>
    <w:uiPriority w:val="99"/>
    <w:semiHidden/>
    <w:unhideWhenUsed/>
    <w:rsid w:val="00E04C9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04C9F"/>
  </w:style>
  <w:style w:type="paragraph" w:styleId="AltBilgi">
    <w:name w:val="footer"/>
    <w:basedOn w:val="Normal"/>
    <w:link w:val="AltBilgiChar"/>
    <w:uiPriority w:val="99"/>
    <w:semiHidden/>
    <w:unhideWhenUsed/>
    <w:rsid w:val="00E04C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E04C9F"/>
  </w:style>
  <w:style w:type="paragraph" w:styleId="NormalWeb">
    <w:name w:val="Normal (Web)"/>
    <w:basedOn w:val="Normal"/>
    <w:uiPriority w:val="99"/>
    <w:semiHidden/>
    <w:unhideWhenUsed/>
    <w:rsid w:val="004628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lectionshareable">
    <w:name w:val="selectionshareable"/>
    <w:basedOn w:val="Normal"/>
    <w:rsid w:val="00E54A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8359">
      <w:bodyDiv w:val="1"/>
      <w:marLeft w:val="0"/>
      <w:marRight w:val="0"/>
      <w:marTop w:val="0"/>
      <w:marBottom w:val="0"/>
      <w:divBdr>
        <w:top w:val="none" w:sz="0" w:space="0" w:color="auto"/>
        <w:left w:val="none" w:sz="0" w:space="0" w:color="auto"/>
        <w:bottom w:val="none" w:sz="0" w:space="0" w:color="auto"/>
        <w:right w:val="none" w:sz="0" w:space="0" w:color="auto"/>
      </w:divBdr>
    </w:div>
    <w:div w:id="77795700">
      <w:bodyDiv w:val="1"/>
      <w:marLeft w:val="0"/>
      <w:marRight w:val="0"/>
      <w:marTop w:val="0"/>
      <w:marBottom w:val="0"/>
      <w:divBdr>
        <w:top w:val="none" w:sz="0" w:space="0" w:color="auto"/>
        <w:left w:val="none" w:sz="0" w:space="0" w:color="auto"/>
        <w:bottom w:val="none" w:sz="0" w:space="0" w:color="auto"/>
        <w:right w:val="none" w:sz="0" w:space="0" w:color="auto"/>
      </w:divBdr>
    </w:div>
    <w:div w:id="120999839">
      <w:bodyDiv w:val="1"/>
      <w:marLeft w:val="0"/>
      <w:marRight w:val="0"/>
      <w:marTop w:val="0"/>
      <w:marBottom w:val="0"/>
      <w:divBdr>
        <w:top w:val="none" w:sz="0" w:space="0" w:color="auto"/>
        <w:left w:val="none" w:sz="0" w:space="0" w:color="auto"/>
        <w:bottom w:val="none" w:sz="0" w:space="0" w:color="auto"/>
        <w:right w:val="none" w:sz="0" w:space="0" w:color="auto"/>
      </w:divBdr>
    </w:div>
    <w:div w:id="162399085">
      <w:bodyDiv w:val="1"/>
      <w:marLeft w:val="0"/>
      <w:marRight w:val="0"/>
      <w:marTop w:val="0"/>
      <w:marBottom w:val="0"/>
      <w:divBdr>
        <w:top w:val="none" w:sz="0" w:space="0" w:color="auto"/>
        <w:left w:val="none" w:sz="0" w:space="0" w:color="auto"/>
        <w:bottom w:val="none" w:sz="0" w:space="0" w:color="auto"/>
        <w:right w:val="none" w:sz="0" w:space="0" w:color="auto"/>
      </w:divBdr>
    </w:div>
    <w:div w:id="372585205">
      <w:bodyDiv w:val="1"/>
      <w:marLeft w:val="0"/>
      <w:marRight w:val="0"/>
      <w:marTop w:val="0"/>
      <w:marBottom w:val="0"/>
      <w:divBdr>
        <w:top w:val="none" w:sz="0" w:space="0" w:color="auto"/>
        <w:left w:val="none" w:sz="0" w:space="0" w:color="auto"/>
        <w:bottom w:val="none" w:sz="0" w:space="0" w:color="auto"/>
        <w:right w:val="none" w:sz="0" w:space="0" w:color="auto"/>
      </w:divBdr>
    </w:div>
    <w:div w:id="421295003">
      <w:bodyDiv w:val="1"/>
      <w:marLeft w:val="0"/>
      <w:marRight w:val="0"/>
      <w:marTop w:val="0"/>
      <w:marBottom w:val="0"/>
      <w:divBdr>
        <w:top w:val="none" w:sz="0" w:space="0" w:color="auto"/>
        <w:left w:val="none" w:sz="0" w:space="0" w:color="auto"/>
        <w:bottom w:val="none" w:sz="0" w:space="0" w:color="auto"/>
        <w:right w:val="none" w:sz="0" w:space="0" w:color="auto"/>
      </w:divBdr>
    </w:div>
    <w:div w:id="432019484">
      <w:bodyDiv w:val="1"/>
      <w:marLeft w:val="0"/>
      <w:marRight w:val="0"/>
      <w:marTop w:val="0"/>
      <w:marBottom w:val="0"/>
      <w:divBdr>
        <w:top w:val="none" w:sz="0" w:space="0" w:color="auto"/>
        <w:left w:val="none" w:sz="0" w:space="0" w:color="auto"/>
        <w:bottom w:val="none" w:sz="0" w:space="0" w:color="auto"/>
        <w:right w:val="none" w:sz="0" w:space="0" w:color="auto"/>
      </w:divBdr>
    </w:div>
    <w:div w:id="436676750">
      <w:bodyDiv w:val="1"/>
      <w:marLeft w:val="0"/>
      <w:marRight w:val="0"/>
      <w:marTop w:val="0"/>
      <w:marBottom w:val="0"/>
      <w:divBdr>
        <w:top w:val="none" w:sz="0" w:space="0" w:color="auto"/>
        <w:left w:val="none" w:sz="0" w:space="0" w:color="auto"/>
        <w:bottom w:val="none" w:sz="0" w:space="0" w:color="auto"/>
        <w:right w:val="none" w:sz="0" w:space="0" w:color="auto"/>
      </w:divBdr>
    </w:div>
    <w:div w:id="445003203">
      <w:bodyDiv w:val="1"/>
      <w:marLeft w:val="0"/>
      <w:marRight w:val="0"/>
      <w:marTop w:val="0"/>
      <w:marBottom w:val="0"/>
      <w:divBdr>
        <w:top w:val="none" w:sz="0" w:space="0" w:color="auto"/>
        <w:left w:val="none" w:sz="0" w:space="0" w:color="auto"/>
        <w:bottom w:val="none" w:sz="0" w:space="0" w:color="auto"/>
        <w:right w:val="none" w:sz="0" w:space="0" w:color="auto"/>
      </w:divBdr>
    </w:div>
    <w:div w:id="569459930">
      <w:bodyDiv w:val="1"/>
      <w:marLeft w:val="0"/>
      <w:marRight w:val="0"/>
      <w:marTop w:val="0"/>
      <w:marBottom w:val="0"/>
      <w:divBdr>
        <w:top w:val="none" w:sz="0" w:space="0" w:color="auto"/>
        <w:left w:val="none" w:sz="0" w:space="0" w:color="auto"/>
        <w:bottom w:val="none" w:sz="0" w:space="0" w:color="auto"/>
        <w:right w:val="none" w:sz="0" w:space="0" w:color="auto"/>
      </w:divBdr>
    </w:div>
    <w:div w:id="584654058">
      <w:bodyDiv w:val="1"/>
      <w:marLeft w:val="0"/>
      <w:marRight w:val="0"/>
      <w:marTop w:val="0"/>
      <w:marBottom w:val="0"/>
      <w:divBdr>
        <w:top w:val="none" w:sz="0" w:space="0" w:color="auto"/>
        <w:left w:val="none" w:sz="0" w:space="0" w:color="auto"/>
        <w:bottom w:val="none" w:sz="0" w:space="0" w:color="auto"/>
        <w:right w:val="none" w:sz="0" w:space="0" w:color="auto"/>
      </w:divBdr>
      <w:divsChild>
        <w:div w:id="1160002373">
          <w:marLeft w:val="0"/>
          <w:marRight w:val="0"/>
          <w:marTop w:val="0"/>
          <w:marBottom w:val="0"/>
          <w:divBdr>
            <w:top w:val="none" w:sz="0" w:space="0" w:color="auto"/>
            <w:left w:val="none" w:sz="0" w:space="0" w:color="auto"/>
            <w:bottom w:val="none" w:sz="0" w:space="0" w:color="auto"/>
            <w:right w:val="none" w:sz="0" w:space="0" w:color="auto"/>
          </w:divBdr>
          <w:divsChild>
            <w:div w:id="1882202646">
              <w:marLeft w:val="0"/>
              <w:marRight w:val="0"/>
              <w:marTop w:val="0"/>
              <w:marBottom w:val="0"/>
              <w:divBdr>
                <w:top w:val="none" w:sz="0" w:space="0" w:color="auto"/>
                <w:left w:val="none" w:sz="0" w:space="0" w:color="auto"/>
                <w:bottom w:val="none" w:sz="0" w:space="0" w:color="auto"/>
                <w:right w:val="none" w:sz="0" w:space="0" w:color="auto"/>
              </w:divBdr>
              <w:divsChild>
                <w:div w:id="14965135">
                  <w:marLeft w:val="0"/>
                  <w:marRight w:val="-225"/>
                  <w:marTop w:val="0"/>
                  <w:marBottom w:val="0"/>
                  <w:divBdr>
                    <w:top w:val="none" w:sz="0" w:space="0" w:color="auto"/>
                    <w:left w:val="none" w:sz="0" w:space="0" w:color="auto"/>
                    <w:bottom w:val="none" w:sz="0" w:space="0" w:color="auto"/>
                    <w:right w:val="none" w:sz="0" w:space="0" w:color="auto"/>
                  </w:divBdr>
                  <w:divsChild>
                    <w:div w:id="1583295177">
                      <w:marLeft w:val="0"/>
                      <w:marRight w:val="0"/>
                      <w:marTop w:val="0"/>
                      <w:marBottom w:val="0"/>
                      <w:divBdr>
                        <w:top w:val="none" w:sz="0" w:space="0" w:color="auto"/>
                        <w:left w:val="none" w:sz="0" w:space="0" w:color="auto"/>
                        <w:bottom w:val="none" w:sz="0" w:space="0" w:color="auto"/>
                        <w:right w:val="none" w:sz="0" w:space="0" w:color="auto"/>
                      </w:divBdr>
                      <w:divsChild>
                        <w:div w:id="13999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49567">
      <w:bodyDiv w:val="1"/>
      <w:marLeft w:val="0"/>
      <w:marRight w:val="0"/>
      <w:marTop w:val="0"/>
      <w:marBottom w:val="0"/>
      <w:divBdr>
        <w:top w:val="none" w:sz="0" w:space="0" w:color="auto"/>
        <w:left w:val="none" w:sz="0" w:space="0" w:color="auto"/>
        <w:bottom w:val="none" w:sz="0" w:space="0" w:color="auto"/>
        <w:right w:val="none" w:sz="0" w:space="0" w:color="auto"/>
      </w:divBdr>
    </w:div>
    <w:div w:id="678120712">
      <w:bodyDiv w:val="1"/>
      <w:marLeft w:val="0"/>
      <w:marRight w:val="0"/>
      <w:marTop w:val="0"/>
      <w:marBottom w:val="0"/>
      <w:divBdr>
        <w:top w:val="none" w:sz="0" w:space="0" w:color="auto"/>
        <w:left w:val="none" w:sz="0" w:space="0" w:color="auto"/>
        <w:bottom w:val="none" w:sz="0" w:space="0" w:color="auto"/>
        <w:right w:val="none" w:sz="0" w:space="0" w:color="auto"/>
      </w:divBdr>
    </w:div>
    <w:div w:id="695735878">
      <w:bodyDiv w:val="1"/>
      <w:marLeft w:val="0"/>
      <w:marRight w:val="0"/>
      <w:marTop w:val="0"/>
      <w:marBottom w:val="0"/>
      <w:divBdr>
        <w:top w:val="none" w:sz="0" w:space="0" w:color="auto"/>
        <w:left w:val="none" w:sz="0" w:space="0" w:color="auto"/>
        <w:bottom w:val="none" w:sz="0" w:space="0" w:color="auto"/>
        <w:right w:val="none" w:sz="0" w:space="0" w:color="auto"/>
      </w:divBdr>
    </w:div>
    <w:div w:id="696809643">
      <w:bodyDiv w:val="1"/>
      <w:marLeft w:val="0"/>
      <w:marRight w:val="0"/>
      <w:marTop w:val="0"/>
      <w:marBottom w:val="0"/>
      <w:divBdr>
        <w:top w:val="none" w:sz="0" w:space="0" w:color="auto"/>
        <w:left w:val="none" w:sz="0" w:space="0" w:color="auto"/>
        <w:bottom w:val="none" w:sz="0" w:space="0" w:color="auto"/>
        <w:right w:val="none" w:sz="0" w:space="0" w:color="auto"/>
      </w:divBdr>
    </w:div>
    <w:div w:id="712537170">
      <w:bodyDiv w:val="1"/>
      <w:marLeft w:val="0"/>
      <w:marRight w:val="0"/>
      <w:marTop w:val="0"/>
      <w:marBottom w:val="0"/>
      <w:divBdr>
        <w:top w:val="none" w:sz="0" w:space="0" w:color="auto"/>
        <w:left w:val="none" w:sz="0" w:space="0" w:color="auto"/>
        <w:bottom w:val="none" w:sz="0" w:space="0" w:color="auto"/>
        <w:right w:val="none" w:sz="0" w:space="0" w:color="auto"/>
      </w:divBdr>
    </w:div>
    <w:div w:id="720400755">
      <w:bodyDiv w:val="1"/>
      <w:marLeft w:val="0"/>
      <w:marRight w:val="0"/>
      <w:marTop w:val="0"/>
      <w:marBottom w:val="0"/>
      <w:divBdr>
        <w:top w:val="none" w:sz="0" w:space="0" w:color="auto"/>
        <w:left w:val="none" w:sz="0" w:space="0" w:color="auto"/>
        <w:bottom w:val="none" w:sz="0" w:space="0" w:color="auto"/>
        <w:right w:val="none" w:sz="0" w:space="0" w:color="auto"/>
      </w:divBdr>
    </w:div>
    <w:div w:id="731392746">
      <w:bodyDiv w:val="1"/>
      <w:marLeft w:val="0"/>
      <w:marRight w:val="0"/>
      <w:marTop w:val="0"/>
      <w:marBottom w:val="0"/>
      <w:divBdr>
        <w:top w:val="none" w:sz="0" w:space="0" w:color="auto"/>
        <w:left w:val="none" w:sz="0" w:space="0" w:color="auto"/>
        <w:bottom w:val="none" w:sz="0" w:space="0" w:color="auto"/>
        <w:right w:val="none" w:sz="0" w:space="0" w:color="auto"/>
      </w:divBdr>
    </w:div>
    <w:div w:id="809637283">
      <w:bodyDiv w:val="1"/>
      <w:marLeft w:val="0"/>
      <w:marRight w:val="0"/>
      <w:marTop w:val="0"/>
      <w:marBottom w:val="0"/>
      <w:divBdr>
        <w:top w:val="none" w:sz="0" w:space="0" w:color="auto"/>
        <w:left w:val="none" w:sz="0" w:space="0" w:color="auto"/>
        <w:bottom w:val="none" w:sz="0" w:space="0" w:color="auto"/>
        <w:right w:val="none" w:sz="0" w:space="0" w:color="auto"/>
      </w:divBdr>
    </w:div>
    <w:div w:id="895361643">
      <w:bodyDiv w:val="1"/>
      <w:marLeft w:val="0"/>
      <w:marRight w:val="0"/>
      <w:marTop w:val="0"/>
      <w:marBottom w:val="0"/>
      <w:divBdr>
        <w:top w:val="none" w:sz="0" w:space="0" w:color="auto"/>
        <w:left w:val="none" w:sz="0" w:space="0" w:color="auto"/>
        <w:bottom w:val="none" w:sz="0" w:space="0" w:color="auto"/>
        <w:right w:val="none" w:sz="0" w:space="0" w:color="auto"/>
      </w:divBdr>
    </w:div>
    <w:div w:id="897320664">
      <w:bodyDiv w:val="1"/>
      <w:marLeft w:val="0"/>
      <w:marRight w:val="0"/>
      <w:marTop w:val="0"/>
      <w:marBottom w:val="0"/>
      <w:divBdr>
        <w:top w:val="none" w:sz="0" w:space="0" w:color="auto"/>
        <w:left w:val="none" w:sz="0" w:space="0" w:color="auto"/>
        <w:bottom w:val="none" w:sz="0" w:space="0" w:color="auto"/>
        <w:right w:val="none" w:sz="0" w:space="0" w:color="auto"/>
      </w:divBdr>
    </w:div>
    <w:div w:id="918978424">
      <w:bodyDiv w:val="1"/>
      <w:marLeft w:val="0"/>
      <w:marRight w:val="0"/>
      <w:marTop w:val="0"/>
      <w:marBottom w:val="0"/>
      <w:divBdr>
        <w:top w:val="none" w:sz="0" w:space="0" w:color="auto"/>
        <w:left w:val="none" w:sz="0" w:space="0" w:color="auto"/>
        <w:bottom w:val="none" w:sz="0" w:space="0" w:color="auto"/>
        <w:right w:val="none" w:sz="0" w:space="0" w:color="auto"/>
      </w:divBdr>
    </w:div>
    <w:div w:id="935871908">
      <w:bodyDiv w:val="1"/>
      <w:marLeft w:val="0"/>
      <w:marRight w:val="0"/>
      <w:marTop w:val="0"/>
      <w:marBottom w:val="0"/>
      <w:divBdr>
        <w:top w:val="none" w:sz="0" w:space="0" w:color="auto"/>
        <w:left w:val="none" w:sz="0" w:space="0" w:color="auto"/>
        <w:bottom w:val="none" w:sz="0" w:space="0" w:color="auto"/>
        <w:right w:val="none" w:sz="0" w:space="0" w:color="auto"/>
      </w:divBdr>
    </w:div>
    <w:div w:id="947201642">
      <w:bodyDiv w:val="1"/>
      <w:marLeft w:val="0"/>
      <w:marRight w:val="0"/>
      <w:marTop w:val="0"/>
      <w:marBottom w:val="0"/>
      <w:divBdr>
        <w:top w:val="none" w:sz="0" w:space="0" w:color="auto"/>
        <w:left w:val="none" w:sz="0" w:space="0" w:color="auto"/>
        <w:bottom w:val="none" w:sz="0" w:space="0" w:color="auto"/>
        <w:right w:val="none" w:sz="0" w:space="0" w:color="auto"/>
      </w:divBdr>
    </w:div>
    <w:div w:id="1013458401">
      <w:bodyDiv w:val="1"/>
      <w:marLeft w:val="0"/>
      <w:marRight w:val="0"/>
      <w:marTop w:val="0"/>
      <w:marBottom w:val="0"/>
      <w:divBdr>
        <w:top w:val="none" w:sz="0" w:space="0" w:color="auto"/>
        <w:left w:val="none" w:sz="0" w:space="0" w:color="auto"/>
        <w:bottom w:val="none" w:sz="0" w:space="0" w:color="auto"/>
        <w:right w:val="none" w:sz="0" w:space="0" w:color="auto"/>
      </w:divBdr>
    </w:div>
    <w:div w:id="1105727591">
      <w:bodyDiv w:val="1"/>
      <w:marLeft w:val="0"/>
      <w:marRight w:val="0"/>
      <w:marTop w:val="0"/>
      <w:marBottom w:val="0"/>
      <w:divBdr>
        <w:top w:val="none" w:sz="0" w:space="0" w:color="auto"/>
        <w:left w:val="none" w:sz="0" w:space="0" w:color="auto"/>
        <w:bottom w:val="none" w:sz="0" w:space="0" w:color="auto"/>
        <w:right w:val="none" w:sz="0" w:space="0" w:color="auto"/>
      </w:divBdr>
    </w:div>
    <w:div w:id="1158495896">
      <w:bodyDiv w:val="1"/>
      <w:marLeft w:val="0"/>
      <w:marRight w:val="0"/>
      <w:marTop w:val="0"/>
      <w:marBottom w:val="0"/>
      <w:divBdr>
        <w:top w:val="none" w:sz="0" w:space="0" w:color="auto"/>
        <w:left w:val="none" w:sz="0" w:space="0" w:color="auto"/>
        <w:bottom w:val="none" w:sz="0" w:space="0" w:color="auto"/>
        <w:right w:val="none" w:sz="0" w:space="0" w:color="auto"/>
      </w:divBdr>
    </w:div>
    <w:div w:id="1294409751">
      <w:bodyDiv w:val="1"/>
      <w:marLeft w:val="0"/>
      <w:marRight w:val="0"/>
      <w:marTop w:val="0"/>
      <w:marBottom w:val="0"/>
      <w:divBdr>
        <w:top w:val="none" w:sz="0" w:space="0" w:color="auto"/>
        <w:left w:val="none" w:sz="0" w:space="0" w:color="auto"/>
        <w:bottom w:val="none" w:sz="0" w:space="0" w:color="auto"/>
        <w:right w:val="none" w:sz="0" w:space="0" w:color="auto"/>
      </w:divBdr>
    </w:div>
    <w:div w:id="1306466815">
      <w:bodyDiv w:val="1"/>
      <w:marLeft w:val="0"/>
      <w:marRight w:val="0"/>
      <w:marTop w:val="0"/>
      <w:marBottom w:val="0"/>
      <w:divBdr>
        <w:top w:val="none" w:sz="0" w:space="0" w:color="auto"/>
        <w:left w:val="none" w:sz="0" w:space="0" w:color="auto"/>
        <w:bottom w:val="none" w:sz="0" w:space="0" w:color="auto"/>
        <w:right w:val="none" w:sz="0" w:space="0" w:color="auto"/>
      </w:divBdr>
    </w:div>
    <w:div w:id="1346715209">
      <w:bodyDiv w:val="1"/>
      <w:marLeft w:val="0"/>
      <w:marRight w:val="0"/>
      <w:marTop w:val="0"/>
      <w:marBottom w:val="0"/>
      <w:divBdr>
        <w:top w:val="none" w:sz="0" w:space="0" w:color="auto"/>
        <w:left w:val="none" w:sz="0" w:space="0" w:color="auto"/>
        <w:bottom w:val="none" w:sz="0" w:space="0" w:color="auto"/>
        <w:right w:val="none" w:sz="0" w:space="0" w:color="auto"/>
      </w:divBdr>
    </w:div>
    <w:div w:id="1383099166">
      <w:bodyDiv w:val="1"/>
      <w:marLeft w:val="0"/>
      <w:marRight w:val="0"/>
      <w:marTop w:val="0"/>
      <w:marBottom w:val="0"/>
      <w:divBdr>
        <w:top w:val="none" w:sz="0" w:space="0" w:color="auto"/>
        <w:left w:val="none" w:sz="0" w:space="0" w:color="auto"/>
        <w:bottom w:val="none" w:sz="0" w:space="0" w:color="auto"/>
        <w:right w:val="none" w:sz="0" w:space="0" w:color="auto"/>
      </w:divBdr>
    </w:div>
    <w:div w:id="1465348627">
      <w:bodyDiv w:val="1"/>
      <w:marLeft w:val="0"/>
      <w:marRight w:val="0"/>
      <w:marTop w:val="0"/>
      <w:marBottom w:val="0"/>
      <w:divBdr>
        <w:top w:val="none" w:sz="0" w:space="0" w:color="auto"/>
        <w:left w:val="none" w:sz="0" w:space="0" w:color="auto"/>
        <w:bottom w:val="none" w:sz="0" w:space="0" w:color="auto"/>
        <w:right w:val="none" w:sz="0" w:space="0" w:color="auto"/>
      </w:divBdr>
    </w:div>
    <w:div w:id="1478230390">
      <w:bodyDiv w:val="1"/>
      <w:marLeft w:val="0"/>
      <w:marRight w:val="0"/>
      <w:marTop w:val="0"/>
      <w:marBottom w:val="0"/>
      <w:divBdr>
        <w:top w:val="none" w:sz="0" w:space="0" w:color="auto"/>
        <w:left w:val="none" w:sz="0" w:space="0" w:color="auto"/>
        <w:bottom w:val="none" w:sz="0" w:space="0" w:color="auto"/>
        <w:right w:val="none" w:sz="0" w:space="0" w:color="auto"/>
      </w:divBdr>
    </w:div>
    <w:div w:id="1486047899">
      <w:bodyDiv w:val="1"/>
      <w:marLeft w:val="0"/>
      <w:marRight w:val="0"/>
      <w:marTop w:val="0"/>
      <w:marBottom w:val="0"/>
      <w:divBdr>
        <w:top w:val="none" w:sz="0" w:space="0" w:color="auto"/>
        <w:left w:val="none" w:sz="0" w:space="0" w:color="auto"/>
        <w:bottom w:val="none" w:sz="0" w:space="0" w:color="auto"/>
        <w:right w:val="none" w:sz="0" w:space="0" w:color="auto"/>
      </w:divBdr>
    </w:div>
    <w:div w:id="1550414978">
      <w:bodyDiv w:val="1"/>
      <w:marLeft w:val="0"/>
      <w:marRight w:val="0"/>
      <w:marTop w:val="0"/>
      <w:marBottom w:val="0"/>
      <w:divBdr>
        <w:top w:val="none" w:sz="0" w:space="0" w:color="auto"/>
        <w:left w:val="none" w:sz="0" w:space="0" w:color="auto"/>
        <w:bottom w:val="none" w:sz="0" w:space="0" w:color="auto"/>
        <w:right w:val="none" w:sz="0" w:space="0" w:color="auto"/>
      </w:divBdr>
    </w:div>
    <w:div w:id="1722944393">
      <w:bodyDiv w:val="1"/>
      <w:marLeft w:val="0"/>
      <w:marRight w:val="0"/>
      <w:marTop w:val="0"/>
      <w:marBottom w:val="0"/>
      <w:divBdr>
        <w:top w:val="none" w:sz="0" w:space="0" w:color="auto"/>
        <w:left w:val="none" w:sz="0" w:space="0" w:color="auto"/>
        <w:bottom w:val="none" w:sz="0" w:space="0" w:color="auto"/>
        <w:right w:val="none" w:sz="0" w:space="0" w:color="auto"/>
      </w:divBdr>
    </w:div>
    <w:div w:id="1819682741">
      <w:bodyDiv w:val="1"/>
      <w:marLeft w:val="0"/>
      <w:marRight w:val="0"/>
      <w:marTop w:val="0"/>
      <w:marBottom w:val="0"/>
      <w:divBdr>
        <w:top w:val="none" w:sz="0" w:space="0" w:color="auto"/>
        <w:left w:val="none" w:sz="0" w:space="0" w:color="auto"/>
        <w:bottom w:val="none" w:sz="0" w:space="0" w:color="auto"/>
        <w:right w:val="none" w:sz="0" w:space="0" w:color="auto"/>
      </w:divBdr>
      <w:divsChild>
        <w:div w:id="469401268">
          <w:marLeft w:val="0"/>
          <w:marRight w:val="0"/>
          <w:marTop w:val="0"/>
          <w:marBottom w:val="0"/>
          <w:divBdr>
            <w:top w:val="none" w:sz="0" w:space="0" w:color="auto"/>
            <w:left w:val="none" w:sz="0" w:space="0" w:color="auto"/>
            <w:bottom w:val="none" w:sz="0" w:space="0" w:color="auto"/>
            <w:right w:val="none" w:sz="0" w:space="0" w:color="auto"/>
          </w:divBdr>
          <w:divsChild>
            <w:div w:id="52126748">
              <w:marLeft w:val="0"/>
              <w:marRight w:val="-225"/>
              <w:marTop w:val="0"/>
              <w:marBottom w:val="0"/>
              <w:divBdr>
                <w:top w:val="none" w:sz="0" w:space="0" w:color="auto"/>
                <w:left w:val="none" w:sz="0" w:space="0" w:color="auto"/>
                <w:bottom w:val="none" w:sz="0" w:space="0" w:color="auto"/>
                <w:right w:val="none" w:sz="0" w:space="0" w:color="auto"/>
              </w:divBdr>
              <w:divsChild>
                <w:div w:id="1080564101">
                  <w:marLeft w:val="0"/>
                  <w:marRight w:val="0"/>
                  <w:marTop w:val="0"/>
                  <w:marBottom w:val="0"/>
                  <w:divBdr>
                    <w:top w:val="none" w:sz="0" w:space="0" w:color="auto"/>
                    <w:left w:val="none" w:sz="0" w:space="0" w:color="auto"/>
                    <w:bottom w:val="none" w:sz="0" w:space="0" w:color="auto"/>
                    <w:right w:val="none" w:sz="0" w:space="0" w:color="auto"/>
                  </w:divBdr>
                  <w:divsChild>
                    <w:div w:id="430246484">
                      <w:marLeft w:val="0"/>
                      <w:marRight w:val="0"/>
                      <w:marTop w:val="0"/>
                      <w:marBottom w:val="0"/>
                      <w:divBdr>
                        <w:top w:val="none" w:sz="0" w:space="0" w:color="auto"/>
                        <w:left w:val="none" w:sz="0" w:space="0" w:color="auto"/>
                        <w:bottom w:val="none" w:sz="0" w:space="0" w:color="auto"/>
                        <w:right w:val="none" w:sz="0" w:space="0" w:color="auto"/>
                      </w:divBdr>
                      <w:divsChild>
                        <w:div w:id="9301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14702">
      <w:bodyDiv w:val="1"/>
      <w:marLeft w:val="0"/>
      <w:marRight w:val="0"/>
      <w:marTop w:val="0"/>
      <w:marBottom w:val="0"/>
      <w:divBdr>
        <w:top w:val="none" w:sz="0" w:space="0" w:color="auto"/>
        <w:left w:val="none" w:sz="0" w:space="0" w:color="auto"/>
        <w:bottom w:val="none" w:sz="0" w:space="0" w:color="auto"/>
        <w:right w:val="none" w:sz="0" w:space="0" w:color="auto"/>
      </w:divBdr>
    </w:div>
    <w:div w:id="1904101839">
      <w:bodyDiv w:val="1"/>
      <w:marLeft w:val="0"/>
      <w:marRight w:val="0"/>
      <w:marTop w:val="0"/>
      <w:marBottom w:val="0"/>
      <w:divBdr>
        <w:top w:val="none" w:sz="0" w:space="0" w:color="auto"/>
        <w:left w:val="none" w:sz="0" w:space="0" w:color="auto"/>
        <w:bottom w:val="none" w:sz="0" w:space="0" w:color="auto"/>
        <w:right w:val="none" w:sz="0" w:space="0" w:color="auto"/>
      </w:divBdr>
    </w:div>
    <w:div w:id="1906643935">
      <w:bodyDiv w:val="1"/>
      <w:marLeft w:val="0"/>
      <w:marRight w:val="0"/>
      <w:marTop w:val="0"/>
      <w:marBottom w:val="0"/>
      <w:divBdr>
        <w:top w:val="none" w:sz="0" w:space="0" w:color="auto"/>
        <w:left w:val="none" w:sz="0" w:space="0" w:color="auto"/>
        <w:bottom w:val="none" w:sz="0" w:space="0" w:color="auto"/>
        <w:right w:val="none" w:sz="0" w:space="0" w:color="auto"/>
      </w:divBdr>
    </w:div>
    <w:div w:id="1989356351">
      <w:bodyDiv w:val="1"/>
      <w:marLeft w:val="0"/>
      <w:marRight w:val="0"/>
      <w:marTop w:val="0"/>
      <w:marBottom w:val="0"/>
      <w:divBdr>
        <w:top w:val="none" w:sz="0" w:space="0" w:color="auto"/>
        <w:left w:val="none" w:sz="0" w:space="0" w:color="auto"/>
        <w:bottom w:val="none" w:sz="0" w:space="0" w:color="auto"/>
        <w:right w:val="none" w:sz="0" w:space="0" w:color="auto"/>
      </w:divBdr>
    </w:div>
    <w:div w:id="2006084057">
      <w:bodyDiv w:val="1"/>
      <w:marLeft w:val="0"/>
      <w:marRight w:val="0"/>
      <w:marTop w:val="0"/>
      <w:marBottom w:val="0"/>
      <w:divBdr>
        <w:top w:val="none" w:sz="0" w:space="0" w:color="auto"/>
        <w:left w:val="none" w:sz="0" w:space="0" w:color="auto"/>
        <w:bottom w:val="none" w:sz="0" w:space="0" w:color="auto"/>
        <w:right w:val="none" w:sz="0" w:space="0" w:color="auto"/>
      </w:divBdr>
    </w:div>
    <w:div w:id="20701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5.emf"/><Relationship Id="rId26" Type="http://schemas.openxmlformats.org/officeDocument/2006/relationships/hyperlink" Target="https://tr.wikipedia.org/wiki/G%C3%BCrcistan"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6.xml"/><Relationship Id="rId25" Type="http://schemas.openxmlformats.org/officeDocument/2006/relationships/hyperlink" Target="https://tr.wikipedia.org/wiki/Azerbaycan"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tr.wikipedia.org/wiki/Sanga%C3%A7al_Terminali"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tr.wikipedia.org/wiki/Bak%C3%BC" TargetMode="External"/><Relationship Id="rId28" Type="http://schemas.openxmlformats.org/officeDocument/2006/relationships/chart" Target="charts/chart9.xml"/><Relationship Id="rId10" Type="http://schemas.openxmlformats.org/officeDocument/2006/relationships/image" Target="media/image3.jpe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hyperlink" Target="https://tr.wikipedia.org/wiki/Azerbaycan" TargetMode="External"/><Relationship Id="rId27" Type="http://schemas.openxmlformats.org/officeDocument/2006/relationships/hyperlink" Target="https://tr.wikipedia.org/wiki/Ceyha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otas.gov.tr/Sayfa/ham-petrol/1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tekfeninsaat-my.sharepoint.com/personal/aydin_erdemir_toros_com_tr/Documents/Masa&#252;st&#252;/TURKLIM/Limanlar_Calisma_Sayfasi_A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Sayfa1!$J$59:$J$63</c:f>
              <c:numCache>
                <c:formatCode>General</c:formatCode>
                <c:ptCount val="5"/>
                <c:pt idx="0">
                  <c:v>2020</c:v>
                </c:pt>
                <c:pt idx="1">
                  <c:v>2021</c:v>
                </c:pt>
                <c:pt idx="2">
                  <c:v>2022</c:v>
                </c:pt>
                <c:pt idx="3">
                  <c:v>2023</c:v>
                </c:pt>
                <c:pt idx="4">
                  <c:v>2024</c:v>
                </c:pt>
              </c:numCache>
            </c:numRef>
          </c:cat>
          <c:val>
            <c:numRef>
              <c:f>Sayfa1!$K$59:$K$63</c:f>
              <c:numCache>
                <c:formatCode>#,##0</c:formatCode>
                <c:ptCount val="5"/>
                <c:pt idx="0">
                  <c:v>496642651</c:v>
                </c:pt>
                <c:pt idx="1">
                  <c:v>526306784.00000012</c:v>
                </c:pt>
                <c:pt idx="2">
                  <c:v>542610283</c:v>
                </c:pt>
                <c:pt idx="3">
                  <c:v>521079804</c:v>
                </c:pt>
                <c:pt idx="4">
                  <c:v>531737357.99999982</c:v>
                </c:pt>
              </c:numCache>
            </c:numRef>
          </c:val>
          <c:extLst>
            <c:ext xmlns:c16="http://schemas.microsoft.com/office/drawing/2014/chart" uri="{C3380CC4-5D6E-409C-BE32-E72D297353CC}">
              <c16:uniqueId val="{00000000-37CE-451D-808C-0E10B6ADF6CE}"/>
            </c:ext>
          </c:extLst>
        </c:ser>
        <c:dLbls>
          <c:showLegendKey val="0"/>
          <c:showVal val="0"/>
          <c:showCatName val="0"/>
          <c:showSerName val="0"/>
          <c:showPercent val="0"/>
          <c:showBubbleSize val="0"/>
        </c:dLbls>
        <c:gapWidth val="219"/>
        <c:overlap val="-27"/>
        <c:axId val="1203036576"/>
        <c:axId val="1203037056"/>
      </c:barChart>
      <c:lineChart>
        <c:grouping val="standard"/>
        <c:varyColors val="0"/>
        <c:ser>
          <c:idx val="1"/>
          <c:order val="1"/>
          <c:spPr>
            <a:ln w="28575" cap="rnd">
              <a:solidFill>
                <a:schemeClr val="accent2"/>
              </a:solidFill>
              <a:round/>
            </a:ln>
            <a:effectLst/>
          </c:spPr>
          <c:marker>
            <c:symbol val="none"/>
          </c:marker>
          <c:cat>
            <c:numRef>
              <c:f>Sayfa1!$J$59:$J$63</c:f>
              <c:numCache>
                <c:formatCode>General</c:formatCode>
                <c:ptCount val="5"/>
                <c:pt idx="0">
                  <c:v>2020</c:v>
                </c:pt>
                <c:pt idx="1">
                  <c:v>2021</c:v>
                </c:pt>
                <c:pt idx="2">
                  <c:v>2022</c:v>
                </c:pt>
                <c:pt idx="3">
                  <c:v>2023</c:v>
                </c:pt>
                <c:pt idx="4">
                  <c:v>2024</c:v>
                </c:pt>
              </c:numCache>
            </c:numRef>
          </c:cat>
          <c:val>
            <c:numRef>
              <c:f>Sayfa1!$L$59:$L$63</c:f>
              <c:numCache>
                <c:formatCode>0.0%</c:formatCode>
                <c:ptCount val="5"/>
                <c:pt idx="0">
                  <c:v>2.5764256177868951E-2</c:v>
                </c:pt>
                <c:pt idx="1">
                  <c:v>5.9729330415482416E-2</c:v>
                </c:pt>
                <c:pt idx="2">
                  <c:v>3.0977178131908475E-2</c:v>
                </c:pt>
                <c:pt idx="3">
                  <c:v>-3.9679452591575751E-2</c:v>
                </c:pt>
                <c:pt idx="4">
                  <c:v>2.0452824918925128E-2</c:v>
                </c:pt>
              </c:numCache>
            </c:numRef>
          </c:val>
          <c:smooth val="0"/>
          <c:extLst>
            <c:ext xmlns:c16="http://schemas.microsoft.com/office/drawing/2014/chart" uri="{C3380CC4-5D6E-409C-BE32-E72D297353CC}">
              <c16:uniqueId val="{00000001-37CE-451D-808C-0E10B6ADF6CE}"/>
            </c:ext>
          </c:extLst>
        </c:ser>
        <c:dLbls>
          <c:showLegendKey val="0"/>
          <c:showVal val="0"/>
          <c:showCatName val="0"/>
          <c:showSerName val="0"/>
          <c:showPercent val="0"/>
          <c:showBubbleSize val="0"/>
        </c:dLbls>
        <c:marker val="1"/>
        <c:smooth val="0"/>
        <c:axId val="1258066432"/>
        <c:axId val="1258065472"/>
      </c:lineChart>
      <c:catAx>
        <c:axId val="12030365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tr-TR" b="1"/>
                  <a:t>Yıllar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03037056"/>
        <c:crosses val="autoZero"/>
        <c:auto val="1"/>
        <c:lblAlgn val="ctr"/>
        <c:lblOffset val="100"/>
        <c:noMultiLvlLbl val="0"/>
      </c:catAx>
      <c:valAx>
        <c:axId val="1203037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tr-TR" b="1"/>
                  <a:t>Tonaj</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03036576"/>
        <c:crosses val="autoZero"/>
        <c:crossBetween val="between"/>
      </c:valAx>
      <c:valAx>
        <c:axId val="1258065472"/>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tr-TR" b="1"/>
                  <a:t>Büyüme</a:t>
                </a:r>
                <a:r>
                  <a:rPr lang="tr-TR" b="1" baseline="0"/>
                  <a:t> Oranı</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tr-T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8066432"/>
        <c:crosses val="max"/>
        <c:crossBetween val="between"/>
      </c:valAx>
      <c:catAx>
        <c:axId val="1258066432"/>
        <c:scaling>
          <c:orientation val="minMax"/>
        </c:scaling>
        <c:delete val="1"/>
        <c:axPos val="b"/>
        <c:numFmt formatCode="General" sourceLinked="1"/>
        <c:majorTickMark val="none"/>
        <c:minorTickMark val="none"/>
        <c:tickLblPos val="nextTo"/>
        <c:crossAx val="125806547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tr-TR" b="1"/>
              <a:t>2023 Yılı Payları</a:t>
            </a:r>
          </a:p>
        </c:rich>
      </c:tx>
      <c:layout>
        <c:manualLayout>
          <c:xMode val="edge"/>
          <c:yMode val="edge"/>
          <c:x val="0.63319157701755546"/>
          <c:y val="4.629629629629629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ECD-4535-A6B2-DE91A078AD7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ECD-4535-A6B2-DE91A078AD7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ECD-4535-A6B2-DE91A078AD7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ECD-4535-A6B2-DE91A078AD7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ECD-4535-A6B2-DE91A078AD70}"/>
              </c:ext>
            </c:extLst>
          </c:dPt>
          <c:dLbls>
            <c:dLbl>
              <c:idx val="0"/>
              <c:tx>
                <c:rich>
                  <a:bodyPr/>
                  <a:lstStyle/>
                  <a:p>
                    <a:fld id="{A4045783-918F-47E5-BB7D-831E0A5758E7}" type="CATEGORYNAME">
                      <a:rPr lang="en-US"/>
                      <a:pPr/>
                      <a:t>[KATEGORİ ADI]</a:t>
                    </a:fld>
                    <a:r>
                      <a:rPr lang="en-US" baseline="0"/>
                      <a:t>
29,5%</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ECD-4535-A6B2-DE91A078AD70}"/>
                </c:ext>
              </c:extLst>
            </c:dLbl>
            <c:dLbl>
              <c:idx val="1"/>
              <c:tx>
                <c:rich>
                  <a:bodyPr/>
                  <a:lstStyle/>
                  <a:p>
                    <a:fld id="{0954A040-DDDD-4DFB-AC36-1382FA6446F8}" type="CATEGORYNAME">
                      <a:rPr lang="en-US"/>
                      <a:pPr/>
                      <a:t>[KATEGORİ ADI]</a:t>
                    </a:fld>
                    <a:r>
                      <a:rPr lang="en-US" baseline="0"/>
                      <a:t>
10,5%</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ECD-4535-A6B2-DE91A078AD70}"/>
                </c:ext>
              </c:extLst>
            </c:dLbl>
            <c:dLbl>
              <c:idx val="2"/>
              <c:tx>
                <c:rich>
                  <a:bodyPr/>
                  <a:lstStyle/>
                  <a:p>
                    <a:fld id="{C6AD036B-4E84-4715-8808-E4E0B95E46AA}" type="CATEGORYNAME">
                      <a:rPr lang="en-US"/>
                      <a:pPr/>
                      <a:t>[KATEGORİ ADI]</a:t>
                    </a:fld>
                    <a:r>
                      <a:rPr lang="en-US" baseline="0"/>
                      <a:t>
32,2%</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ECD-4535-A6B2-DE91A078AD70}"/>
                </c:ext>
              </c:extLst>
            </c:dLbl>
            <c:dLbl>
              <c:idx val="3"/>
              <c:tx>
                <c:rich>
                  <a:bodyPr/>
                  <a:lstStyle/>
                  <a:p>
                    <a:fld id="{F3072CE3-CF4D-4E61-AFE0-73708D468B87}" type="CATEGORYNAME">
                      <a:rPr lang="en-US"/>
                      <a:pPr/>
                      <a:t>[KATEGORİ ADI]</a:t>
                    </a:fld>
                    <a:r>
                      <a:rPr lang="en-US" baseline="0"/>
                      <a:t>
25,6%</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ECD-4535-A6B2-DE91A078AD70}"/>
                </c:ext>
              </c:extLst>
            </c:dLbl>
            <c:dLbl>
              <c:idx val="4"/>
              <c:tx>
                <c:rich>
                  <a:bodyPr/>
                  <a:lstStyle/>
                  <a:p>
                    <a:fld id="{6C52C060-7E8C-491F-B1CC-2050EE5D79B5}" type="CATEGORYNAME">
                      <a:rPr lang="en-US"/>
                      <a:pPr/>
                      <a:t>[KATEGORİ ADI]</a:t>
                    </a:fld>
                    <a:r>
                      <a:rPr lang="en-US" baseline="0"/>
                      <a:t>
2,2%</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ECD-4535-A6B2-DE91A078AD7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Sayfa3!$B$3:$B$7</c:f>
              <c:strCache>
                <c:ptCount val="5"/>
                <c:pt idx="0">
                  <c:v>Kuru Dökme Yük</c:v>
                </c:pt>
                <c:pt idx="1">
                  <c:v>Genel Kargo</c:v>
                </c:pt>
                <c:pt idx="2">
                  <c:v>Sıvı Dökme Yük</c:v>
                </c:pt>
                <c:pt idx="3">
                  <c:v>Konteyner</c:v>
                </c:pt>
                <c:pt idx="4">
                  <c:v>Araç</c:v>
                </c:pt>
              </c:strCache>
            </c:strRef>
          </c:cat>
          <c:val>
            <c:numRef>
              <c:f>Sayfa3!$C$3:$C$7</c:f>
              <c:numCache>
                <c:formatCode>#,##0</c:formatCode>
                <c:ptCount val="5"/>
                <c:pt idx="0">
                  <c:v>153714732</c:v>
                </c:pt>
                <c:pt idx="1">
                  <c:v>54864485</c:v>
                </c:pt>
                <c:pt idx="2">
                  <c:v>167788070</c:v>
                </c:pt>
                <c:pt idx="3">
                  <c:v>133467400</c:v>
                </c:pt>
                <c:pt idx="4">
                  <c:v>11245117</c:v>
                </c:pt>
              </c:numCache>
            </c:numRef>
          </c:val>
          <c:extLst>
            <c:ext xmlns:c16="http://schemas.microsoft.com/office/drawing/2014/chart" uri="{C3380CC4-5D6E-409C-BE32-E72D297353CC}">
              <c16:uniqueId val="{0000000A-CECD-4535-A6B2-DE91A078AD70}"/>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CECD-4535-A6B2-DE91A078AD7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CECD-4535-A6B2-DE91A078AD7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CECD-4535-A6B2-DE91A078AD7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CECD-4535-A6B2-DE91A078AD7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CECD-4535-A6B2-DE91A078AD7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Sayfa3!$B$3:$B$7</c:f>
              <c:strCache>
                <c:ptCount val="5"/>
                <c:pt idx="0">
                  <c:v>Kuru Dökme Yük</c:v>
                </c:pt>
                <c:pt idx="1">
                  <c:v>Genel Kargo</c:v>
                </c:pt>
                <c:pt idx="2">
                  <c:v>Sıvı Dökme Yük</c:v>
                </c:pt>
                <c:pt idx="3">
                  <c:v>Konteyner</c:v>
                </c:pt>
                <c:pt idx="4">
                  <c:v>Araç</c:v>
                </c:pt>
              </c:strCache>
            </c:strRef>
          </c:cat>
          <c:val>
            <c:numRef>
              <c:f>Sayfa3!$D$3:$D$7</c:f>
              <c:numCache>
                <c:formatCode>0.0%</c:formatCode>
                <c:ptCount val="5"/>
                <c:pt idx="0">
                  <c:v>0.29499268791465194</c:v>
                </c:pt>
                <c:pt idx="1">
                  <c:v>0.10528998548560135</c:v>
                </c:pt>
                <c:pt idx="2">
                  <c:v>0.32200071603619473</c:v>
                </c:pt>
                <c:pt idx="3">
                  <c:v>0.25613619828566603</c:v>
                </c:pt>
                <c:pt idx="4">
                  <c:v>2.158041227788594E-2</c:v>
                </c:pt>
              </c:numCache>
            </c:numRef>
          </c:val>
          <c:extLst>
            <c:ext xmlns:c16="http://schemas.microsoft.com/office/drawing/2014/chart" uri="{C3380CC4-5D6E-409C-BE32-E72D297353CC}">
              <c16:uniqueId val="{00000015-CECD-4535-A6B2-DE91A078AD70}"/>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7899396325459318"/>
          <c:y val="0.346560950714494"/>
          <c:w val="0.2013523325934814"/>
          <c:h val="0.3906277340332458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2024</a:t>
            </a:r>
            <a:r>
              <a:rPr lang="tr-TR" b="1"/>
              <a:t> Yılı Payları</a:t>
            </a:r>
            <a:endParaRPr lang="en-US" b="1"/>
          </a:p>
        </c:rich>
      </c:tx>
      <c:layout>
        <c:manualLayout>
          <c:xMode val="edge"/>
          <c:yMode val="edge"/>
          <c:x val="0.61002077865266857"/>
          <c:y val="3.703703703703703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Sayfa3!$C$2</c:f>
              <c:strCache>
                <c:ptCount val="1"/>
                <c:pt idx="0">
                  <c:v>2023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16-4566-B312-313AFB4B4A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16-4566-B312-313AFB4B4A8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F16-4566-B312-313AFB4B4A8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F16-4566-B312-313AFB4B4A8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F16-4566-B312-313AFB4B4A8D}"/>
              </c:ext>
            </c:extLst>
          </c:dPt>
          <c:dLbls>
            <c:dLbl>
              <c:idx val="0"/>
              <c:tx>
                <c:rich>
                  <a:bodyPr/>
                  <a:lstStyle/>
                  <a:p>
                    <a:fld id="{06F4DA87-D76B-480F-B9EF-ECED4D9F2FEB}" type="CATEGORYNAME">
                      <a:rPr lang="en-US"/>
                      <a:pPr/>
                      <a:t>[KATEGORİ ADI]</a:t>
                    </a:fld>
                    <a:r>
                      <a:rPr lang="en-US" baseline="0"/>
                      <a:t>
28,6%</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F16-4566-B312-313AFB4B4A8D}"/>
                </c:ext>
              </c:extLst>
            </c:dLbl>
            <c:dLbl>
              <c:idx val="1"/>
              <c:tx>
                <c:rich>
                  <a:bodyPr/>
                  <a:lstStyle/>
                  <a:p>
                    <a:fld id="{23A012E2-2776-444C-A5D2-14B3D4395BDD}" type="CATEGORYNAME">
                      <a:rPr lang="en-US"/>
                      <a:pPr/>
                      <a:t>[KATEGORİ ADI]</a:t>
                    </a:fld>
                    <a:r>
                      <a:rPr lang="en-US" baseline="0"/>
                      <a:t>
11,7%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F16-4566-B312-313AFB4B4A8D}"/>
                </c:ext>
              </c:extLst>
            </c:dLbl>
            <c:dLbl>
              <c:idx val="2"/>
              <c:tx>
                <c:rich>
                  <a:bodyPr/>
                  <a:lstStyle/>
                  <a:p>
                    <a:fld id="{F8C7E488-82C3-4158-BED8-EEDF26F1F9D6}" type="CATEGORYNAME">
                      <a:rPr lang="en-US"/>
                      <a:pPr/>
                      <a:t>[KATEGORİ ADI]</a:t>
                    </a:fld>
                    <a:r>
                      <a:rPr lang="en-US" baseline="0"/>
                      <a:t>
30,5%</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F16-4566-B312-313AFB4B4A8D}"/>
                </c:ext>
              </c:extLst>
            </c:dLbl>
            <c:dLbl>
              <c:idx val="3"/>
              <c:tx>
                <c:rich>
                  <a:bodyPr/>
                  <a:lstStyle/>
                  <a:p>
                    <a:fld id="{A42C1845-4A8F-41CA-894D-F3B4090FDCA9}" type="CATEGORYNAME">
                      <a:rPr lang="en-US"/>
                      <a:pPr/>
                      <a:t>[KATEGORİ ADI]</a:t>
                    </a:fld>
                    <a:r>
                      <a:rPr lang="en-US" baseline="0"/>
                      <a:t>
27%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F16-4566-B312-313AFB4B4A8D}"/>
                </c:ext>
              </c:extLst>
            </c:dLbl>
            <c:dLbl>
              <c:idx val="4"/>
              <c:tx>
                <c:rich>
                  <a:bodyPr/>
                  <a:lstStyle/>
                  <a:p>
                    <a:fld id="{3D6BCA5C-ACBB-42C8-A9DD-95935F25B30B}" type="CATEGORYNAME">
                      <a:rPr lang="en-US"/>
                      <a:pPr/>
                      <a:t>[KATEGORİ ADI]</a:t>
                    </a:fld>
                    <a:r>
                      <a:rPr lang="en-US" baseline="0"/>
                      <a:t>
2,2%</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F16-4566-B312-313AFB4B4A8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Sayfa3!$B$3:$B$7</c:f>
              <c:strCache>
                <c:ptCount val="5"/>
                <c:pt idx="0">
                  <c:v>Kuru Dökme Yük</c:v>
                </c:pt>
                <c:pt idx="1">
                  <c:v>Genel Kargo</c:v>
                </c:pt>
                <c:pt idx="2">
                  <c:v>Sıvı Dökme Yük</c:v>
                </c:pt>
                <c:pt idx="3">
                  <c:v>Konteyner</c:v>
                </c:pt>
                <c:pt idx="4">
                  <c:v>Araç</c:v>
                </c:pt>
              </c:strCache>
            </c:strRef>
          </c:cat>
          <c:val>
            <c:numRef>
              <c:f>Sayfa3!$C$3:$C$7</c:f>
              <c:numCache>
                <c:formatCode>#,##0</c:formatCode>
                <c:ptCount val="5"/>
                <c:pt idx="0">
                  <c:v>153714732</c:v>
                </c:pt>
                <c:pt idx="1">
                  <c:v>54864485</c:v>
                </c:pt>
                <c:pt idx="2">
                  <c:v>167788070</c:v>
                </c:pt>
                <c:pt idx="3">
                  <c:v>133467400</c:v>
                </c:pt>
                <c:pt idx="4">
                  <c:v>11245117</c:v>
                </c:pt>
              </c:numCache>
            </c:numRef>
          </c:val>
          <c:extLst>
            <c:ext xmlns:c16="http://schemas.microsoft.com/office/drawing/2014/chart" uri="{C3380CC4-5D6E-409C-BE32-E72D297353CC}">
              <c16:uniqueId val="{0000000A-FF16-4566-B312-313AFB4B4A8D}"/>
            </c:ext>
          </c:extLst>
        </c:ser>
        <c:ser>
          <c:idx val="1"/>
          <c:order val="1"/>
          <c:tx>
            <c:strRef>
              <c:f>Sayfa3!$D$2</c:f>
              <c:strCache>
                <c:ptCount val="1"/>
                <c:pt idx="0">
                  <c:v>2023 Yılı Payı</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FF16-4566-B312-313AFB4B4A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FF16-4566-B312-313AFB4B4A8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FF16-4566-B312-313AFB4B4A8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FF16-4566-B312-313AFB4B4A8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FF16-4566-B312-313AFB4B4A8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Sayfa3!$B$3:$B$7</c:f>
              <c:strCache>
                <c:ptCount val="5"/>
                <c:pt idx="0">
                  <c:v>Kuru Dökme Yük</c:v>
                </c:pt>
                <c:pt idx="1">
                  <c:v>Genel Kargo</c:v>
                </c:pt>
                <c:pt idx="2">
                  <c:v>Sıvı Dökme Yük</c:v>
                </c:pt>
                <c:pt idx="3">
                  <c:v>Konteyner</c:v>
                </c:pt>
                <c:pt idx="4">
                  <c:v>Araç</c:v>
                </c:pt>
              </c:strCache>
            </c:strRef>
          </c:cat>
          <c:val>
            <c:numRef>
              <c:f>Sayfa3!$D$3:$D$7</c:f>
              <c:numCache>
                <c:formatCode>0.0%</c:formatCode>
                <c:ptCount val="5"/>
                <c:pt idx="0">
                  <c:v>0.29499268791465194</c:v>
                </c:pt>
                <c:pt idx="1">
                  <c:v>0.10528998548560135</c:v>
                </c:pt>
                <c:pt idx="2">
                  <c:v>0.32200071603619473</c:v>
                </c:pt>
                <c:pt idx="3">
                  <c:v>0.25613619828566603</c:v>
                </c:pt>
                <c:pt idx="4">
                  <c:v>2.158041227788594E-2</c:v>
                </c:pt>
              </c:numCache>
            </c:numRef>
          </c:val>
          <c:extLst>
            <c:ext xmlns:c16="http://schemas.microsoft.com/office/drawing/2014/chart" uri="{C3380CC4-5D6E-409C-BE32-E72D297353CC}">
              <c16:uniqueId val="{00000015-FF16-4566-B312-313AFB4B4A8D}"/>
            </c:ext>
          </c:extLst>
        </c:ser>
        <c:ser>
          <c:idx val="2"/>
          <c:order val="2"/>
          <c:tx>
            <c:strRef>
              <c:f>Sayfa3!$E$2</c:f>
              <c:strCache>
                <c:ptCount val="1"/>
                <c:pt idx="0">
                  <c:v>2024</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7-FF16-4566-B312-313AFB4B4A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9-FF16-4566-B312-313AFB4B4A8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B-FF16-4566-B312-313AFB4B4A8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D-FF16-4566-B312-313AFB4B4A8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F-FF16-4566-B312-313AFB4B4A8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Sayfa3!$B$3:$B$7</c:f>
              <c:strCache>
                <c:ptCount val="5"/>
                <c:pt idx="0">
                  <c:v>Kuru Dökme Yük</c:v>
                </c:pt>
                <c:pt idx="1">
                  <c:v>Genel Kargo</c:v>
                </c:pt>
                <c:pt idx="2">
                  <c:v>Sıvı Dökme Yük</c:v>
                </c:pt>
                <c:pt idx="3">
                  <c:v>Konteyner</c:v>
                </c:pt>
                <c:pt idx="4">
                  <c:v>Araç</c:v>
                </c:pt>
              </c:strCache>
            </c:strRef>
          </c:cat>
          <c:val>
            <c:numRef>
              <c:f>Sayfa3!$E$3:$E$7</c:f>
              <c:numCache>
                <c:formatCode>#,##0</c:formatCode>
                <c:ptCount val="5"/>
                <c:pt idx="0">
                  <c:v>152196648</c:v>
                </c:pt>
                <c:pt idx="1">
                  <c:v>62100115</c:v>
                </c:pt>
                <c:pt idx="2">
                  <c:v>162214988</c:v>
                </c:pt>
                <c:pt idx="3">
                  <c:v>143357666</c:v>
                </c:pt>
                <c:pt idx="4">
                  <c:v>11867941</c:v>
                </c:pt>
              </c:numCache>
            </c:numRef>
          </c:val>
          <c:extLst>
            <c:ext xmlns:c16="http://schemas.microsoft.com/office/drawing/2014/chart" uri="{C3380CC4-5D6E-409C-BE32-E72D297353CC}">
              <c16:uniqueId val="{00000020-FF16-4566-B312-313AFB4B4A8D}"/>
            </c:ext>
          </c:extLst>
        </c:ser>
        <c:ser>
          <c:idx val="3"/>
          <c:order val="3"/>
          <c:tx>
            <c:strRef>
              <c:f>Sayfa3!$F$2</c:f>
              <c:strCache>
                <c:ptCount val="1"/>
                <c:pt idx="0">
                  <c:v>2024 Yılı Payı</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22-FF16-4566-B312-313AFB4B4A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24-FF16-4566-B312-313AFB4B4A8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26-FF16-4566-B312-313AFB4B4A8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8-FF16-4566-B312-313AFB4B4A8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A-FF16-4566-B312-313AFB4B4A8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Sayfa3!$B$3:$B$7</c:f>
              <c:strCache>
                <c:ptCount val="5"/>
                <c:pt idx="0">
                  <c:v>Kuru Dökme Yük</c:v>
                </c:pt>
                <c:pt idx="1">
                  <c:v>Genel Kargo</c:v>
                </c:pt>
                <c:pt idx="2">
                  <c:v>Sıvı Dökme Yük</c:v>
                </c:pt>
                <c:pt idx="3">
                  <c:v>Konteyner</c:v>
                </c:pt>
                <c:pt idx="4">
                  <c:v>Araç</c:v>
                </c:pt>
              </c:strCache>
            </c:strRef>
          </c:cat>
          <c:val>
            <c:numRef>
              <c:f>Sayfa3!$F$3:$F$7</c:f>
              <c:numCache>
                <c:formatCode>0.0%</c:formatCode>
                <c:ptCount val="5"/>
                <c:pt idx="0">
                  <c:v>0.28622523076514778</c:v>
                </c:pt>
                <c:pt idx="1">
                  <c:v>0.11678719590734492</c:v>
                </c:pt>
                <c:pt idx="2">
                  <c:v>0.30506599839088228</c:v>
                </c:pt>
                <c:pt idx="3">
                  <c:v>0.26960239645227257</c:v>
                </c:pt>
                <c:pt idx="4">
                  <c:v>2.2319178484352421E-2</c:v>
                </c:pt>
              </c:numCache>
            </c:numRef>
          </c:val>
          <c:extLst>
            <c:ext xmlns:c16="http://schemas.microsoft.com/office/drawing/2014/chart" uri="{C3380CC4-5D6E-409C-BE32-E72D297353CC}">
              <c16:uniqueId val="{0000002B-FF16-4566-B312-313AFB4B4A8D}"/>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77782895931890161"/>
          <c:y val="0.3419313210848644"/>
          <c:w val="0.20963342784258288"/>
          <c:h val="0.3906277340332458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tr-TR" b="1"/>
              <a:t>2023 Yılı Payları</a:t>
            </a:r>
            <a:endParaRPr lang="en-US" b="1"/>
          </a:p>
        </c:rich>
      </c:tx>
      <c:layout>
        <c:manualLayout>
          <c:xMode val="edge"/>
          <c:yMode val="edge"/>
          <c:x val="0.64990138944496345"/>
          <c:y val="4.365881544112339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Sayfa1!$C$82</c:f>
              <c:strCache>
                <c:ptCount val="1"/>
                <c:pt idx="0">
                  <c:v>TONAJ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583-4409-A72A-BD86D249D4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583-4409-A72A-BD86D249D45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583-4409-A72A-BD86D249D45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583-4409-A72A-BD86D249D45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Sayfa1!$B$83:$B$86</c:f>
              <c:strCache>
                <c:ptCount val="4"/>
                <c:pt idx="0">
                  <c:v>MARMARA</c:v>
                </c:pt>
                <c:pt idx="1">
                  <c:v>AKDENİZ</c:v>
                </c:pt>
                <c:pt idx="2">
                  <c:v>EGE</c:v>
                </c:pt>
                <c:pt idx="3">
                  <c:v>KARADENİZ</c:v>
                </c:pt>
              </c:strCache>
            </c:strRef>
          </c:cat>
          <c:val>
            <c:numRef>
              <c:f>Sayfa1!$C$83:$C$86</c:f>
              <c:numCache>
                <c:formatCode>#,##0</c:formatCode>
                <c:ptCount val="4"/>
                <c:pt idx="0">
                  <c:v>206908841.00000003</c:v>
                </c:pt>
                <c:pt idx="1">
                  <c:v>169462852.99999997</c:v>
                </c:pt>
                <c:pt idx="2">
                  <c:v>100613642.00000006</c:v>
                </c:pt>
                <c:pt idx="3">
                  <c:v>44094468</c:v>
                </c:pt>
              </c:numCache>
            </c:numRef>
          </c:val>
          <c:extLst>
            <c:ext xmlns:c16="http://schemas.microsoft.com/office/drawing/2014/chart" uri="{C3380CC4-5D6E-409C-BE32-E72D297353CC}">
              <c16:uniqueId val="{00000008-5583-4409-A72A-BD86D249D455}"/>
            </c:ext>
          </c:extLst>
        </c:ser>
        <c:ser>
          <c:idx val="1"/>
          <c:order val="1"/>
          <c:tx>
            <c:strRef>
              <c:f>Sayfa1!$D$82</c:f>
              <c:strCache>
                <c:ptCount val="1"/>
                <c:pt idx="0">
                  <c:v>PAZAR PAYI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5583-4409-A72A-BD86D249D4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5583-4409-A72A-BD86D249D45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5583-4409-A72A-BD86D249D45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5583-4409-A72A-BD86D249D45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Sayfa1!$B$83:$B$86</c:f>
              <c:strCache>
                <c:ptCount val="4"/>
                <c:pt idx="0">
                  <c:v>MARMARA</c:v>
                </c:pt>
                <c:pt idx="1">
                  <c:v>AKDENİZ</c:v>
                </c:pt>
                <c:pt idx="2">
                  <c:v>EGE</c:v>
                </c:pt>
                <c:pt idx="3">
                  <c:v>KARADENİZ</c:v>
                </c:pt>
              </c:strCache>
            </c:strRef>
          </c:cat>
          <c:val>
            <c:numRef>
              <c:f>Sayfa1!$D$83:$D$86</c:f>
              <c:numCache>
                <c:formatCode>0%</c:formatCode>
                <c:ptCount val="4"/>
                <c:pt idx="0">
                  <c:v>0.39707706844842527</c:v>
                </c:pt>
                <c:pt idx="1">
                  <c:v>0.32521477842576291</c:v>
                </c:pt>
                <c:pt idx="2">
                  <c:v>0.19308681938477135</c:v>
                </c:pt>
                <c:pt idx="3">
                  <c:v>8.4621333741040555E-2</c:v>
                </c:pt>
              </c:numCache>
            </c:numRef>
          </c:val>
          <c:extLst>
            <c:ext xmlns:c16="http://schemas.microsoft.com/office/drawing/2014/chart" uri="{C3380CC4-5D6E-409C-BE32-E72D297353CC}">
              <c16:uniqueId val="{00000011-5583-4409-A72A-BD86D249D455}"/>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2024</a:t>
            </a:r>
            <a:r>
              <a:rPr lang="tr-TR" b="1"/>
              <a:t> Yılı Payları</a:t>
            </a:r>
            <a:endParaRPr lang="en-US" b="1"/>
          </a:p>
        </c:rich>
      </c:tx>
      <c:layout>
        <c:manualLayout>
          <c:xMode val="edge"/>
          <c:yMode val="edge"/>
          <c:x val="0.61080814157067309"/>
          <c:y val="4.851426856736974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2FC-4D01-8FE6-5369F3D3DD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2FC-4D01-8FE6-5369F3D3DD9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2FC-4D01-8FE6-5369F3D3DD9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2FC-4D01-8FE6-5369F3D3DD9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Sayfa1!$B$28:$B$31</c:f>
              <c:strCache>
                <c:ptCount val="4"/>
                <c:pt idx="0">
                  <c:v>MARMARA</c:v>
                </c:pt>
                <c:pt idx="1">
                  <c:v>AKDENİZ</c:v>
                </c:pt>
                <c:pt idx="2">
                  <c:v>EGE</c:v>
                </c:pt>
                <c:pt idx="3">
                  <c:v>KARADENİZ</c:v>
                </c:pt>
              </c:strCache>
            </c:strRef>
          </c:cat>
          <c:val>
            <c:numRef>
              <c:f>Sayfa1!$C$28:$C$31</c:f>
              <c:numCache>
                <c:formatCode>#,##0</c:formatCode>
                <c:ptCount val="4"/>
                <c:pt idx="0">
                  <c:v>215274899</c:v>
                </c:pt>
                <c:pt idx="1">
                  <c:v>166125751</c:v>
                </c:pt>
                <c:pt idx="2">
                  <c:v>105920589</c:v>
                </c:pt>
                <c:pt idx="3">
                  <c:v>44416119</c:v>
                </c:pt>
              </c:numCache>
            </c:numRef>
          </c:val>
          <c:extLst>
            <c:ext xmlns:c16="http://schemas.microsoft.com/office/drawing/2014/chart" uri="{C3380CC4-5D6E-409C-BE32-E72D297353CC}">
              <c16:uniqueId val="{00000008-42FC-4D01-8FE6-5369F3D3DD97}"/>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42FC-4D01-8FE6-5369F3D3DD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42FC-4D01-8FE6-5369F3D3DD9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42FC-4D01-8FE6-5369F3D3DD9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42FC-4D01-8FE6-5369F3D3DD9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Sayfa1!$B$28:$B$31</c:f>
              <c:strCache>
                <c:ptCount val="4"/>
                <c:pt idx="0">
                  <c:v>MARMARA</c:v>
                </c:pt>
                <c:pt idx="1">
                  <c:v>AKDENİZ</c:v>
                </c:pt>
                <c:pt idx="2">
                  <c:v>EGE</c:v>
                </c:pt>
                <c:pt idx="3">
                  <c:v>KARADENİZ</c:v>
                </c:pt>
              </c:strCache>
            </c:strRef>
          </c:cat>
          <c:val>
            <c:numRef>
              <c:f>Sayfa1!$D$28:$D$31</c:f>
              <c:numCache>
                <c:formatCode>0%</c:formatCode>
                <c:ptCount val="4"/>
                <c:pt idx="0">
                  <c:v>0.4</c:v>
                </c:pt>
                <c:pt idx="1">
                  <c:v>0.31</c:v>
                </c:pt>
                <c:pt idx="2">
                  <c:v>0.2</c:v>
                </c:pt>
                <c:pt idx="3">
                  <c:v>0.08</c:v>
                </c:pt>
              </c:numCache>
            </c:numRef>
          </c:val>
          <c:extLst>
            <c:ext xmlns:c16="http://schemas.microsoft.com/office/drawing/2014/chart" uri="{C3380CC4-5D6E-409C-BE32-E72D297353CC}">
              <c16:uniqueId val="{00000011-42FC-4D01-8FE6-5369F3D3DD9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Sayfa4!$J$3</c:f>
              <c:strCache>
                <c:ptCount val="1"/>
                <c:pt idx="0">
                  <c:v>Marmara</c:v>
                </c:pt>
              </c:strCache>
            </c:strRef>
          </c:tx>
          <c:spPr>
            <a:ln w="28575" cap="rnd">
              <a:solidFill>
                <a:schemeClr val="accent1"/>
              </a:solidFill>
              <a:round/>
            </a:ln>
            <a:effectLst/>
          </c:spPr>
          <c:marker>
            <c:symbol val="none"/>
          </c:marker>
          <c:cat>
            <c:numRef>
              <c:f>Sayfa4!$I$4:$I$28</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Sayfa4!$J$4:$J$28</c:f>
              <c:numCache>
                <c:formatCode>0%</c:formatCode>
                <c:ptCount val="15"/>
                <c:pt idx="0">
                  <c:v>0.41504889971633374</c:v>
                </c:pt>
                <c:pt idx="1">
                  <c:v>0.42415473773242213</c:v>
                </c:pt>
                <c:pt idx="2">
                  <c:v>0.42797476862640527</c:v>
                </c:pt>
                <c:pt idx="3">
                  <c:v>0.42537331090595781</c:v>
                </c:pt>
                <c:pt idx="4">
                  <c:v>0.41724963385486702</c:v>
                </c:pt>
                <c:pt idx="5">
                  <c:v>0.38652983482622849</c:v>
                </c:pt>
                <c:pt idx="6">
                  <c:v>0.38715189941769612</c:v>
                </c:pt>
                <c:pt idx="7">
                  <c:v>0.39199792808555761</c:v>
                </c:pt>
                <c:pt idx="8">
                  <c:v>0.40244521415850831</c:v>
                </c:pt>
                <c:pt idx="9">
                  <c:v>0.38139980722245054</c:v>
                </c:pt>
                <c:pt idx="10">
                  <c:v>0.38499149965273521</c:v>
                </c:pt>
                <c:pt idx="11">
                  <c:v>0.39047843814226801</c:v>
                </c:pt>
                <c:pt idx="12">
                  <c:v>0.39289509004752887</c:v>
                </c:pt>
                <c:pt idx="13">
                  <c:v>0.39707706844842522</c:v>
                </c:pt>
                <c:pt idx="14">
                  <c:v>0.40485193632003563</c:v>
                </c:pt>
              </c:numCache>
            </c:numRef>
          </c:val>
          <c:smooth val="0"/>
          <c:extLst>
            <c:ext xmlns:c16="http://schemas.microsoft.com/office/drawing/2014/chart" uri="{C3380CC4-5D6E-409C-BE32-E72D297353CC}">
              <c16:uniqueId val="{00000000-CFE6-4272-8231-CB9B59BE8518}"/>
            </c:ext>
          </c:extLst>
        </c:ser>
        <c:ser>
          <c:idx val="1"/>
          <c:order val="1"/>
          <c:tx>
            <c:strRef>
              <c:f>Sayfa4!$K$3</c:f>
              <c:strCache>
                <c:ptCount val="1"/>
                <c:pt idx="0">
                  <c:v>Akdeniz</c:v>
                </c:pt>
              </c:strCache>
            </c:strRef>
          </c:tx>
          <c:spPr>
            <a:ln w="28575" cap="rnd">
              <a:solidFill>
                <a:schemeClr val="accent2"/>
              </a:solidFill>
              <a:round/>
            </a:ln>
            <a:effectLst/>
          </c:spPr>
          <c:marker>
            <c:symbol val="none"/>
          </c:marker>
          <c:cat>
            <c:numRef>
              <c:f>Sayfa4!$I$4:$I$28</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Sayfa4!$K$4:$K$28</c:f>
              <c:numCache>
                <c:formatCode>0%</c:formatCode>
                <c:ptCount val="15"/>
                <c:pt idx="0">
                  <c:v>0.35284170862431669</c:v>
                </c:pt>
                <c:pt idx="1">
                  <c:v>0.3384140139885064</c:v>
                </c:pt>
                <c:pt idx="2">
                  <c:v>0.33106407725122755</c:v>
                </c:pt>
                <c:pt idx="3">
                  <c:v>0.3314878074773126</c:v>
                </c:pt>
                <c:pt idx="4">
                  <c:v>0.33558319919085328</c:v>
                </c:pt>
                <c:pt idx="5">
                  <c:v>0.36792487979936483</c:v>
                </c:pt>
                <c:pt idx="6">
                  <c:v>0.36855091990662731</c:v>
                </c:pt>
                <c:pt idx="7">
                  <c:v>0.36059418495459267</c:v>
                </c:pt>
                <c:pt idx="8">
                  <c:v>0.34912785636168936</c:v>
                </c:pt>
                <c:pt idx="9">
                  <c:v>0.36087407949281913</c:v>
                </c:pt>
                <c:pt idx="10">
                  <c:v>0.35349407193785298</c:v>
                </c:pt>
                <c:pt idx="11">
                  <c:v>0.34559653139489077</c:v>
                </c:pt>
                <c:pt idx="12">
                  <c:v>0.34362126159706402</c:v>
                </c:pt>
                <c:pt idx="13">
                  <c:v>0.32521477842576296</c:v>
                </c:pt>
                <c:pt idx="14">
                  <c:v>0.31242068758313574</c:v>
                </c:pt>
              </c:numCache>
            </c:numRef>
          </c:val>
          <c:smooth val="0"/>
          <c:extLst>
            <c:ext xmlns:c16="http://schemas.microsoft.com/office/drawing/2014/chart" uri="{C3380CC4-5D6E-409C-BE32-E72D297353CC}">
              <c16:uniqueId val="{00000001-CFE6-4272-8231-CB9B59BE8518}"/>
            </c:ext>
          </c:extLst>
        </c:ser>
        <c:ser>
          <c:idx val="2"/>
          <c:order val="2"/>
          <c:tx>
            <c:strRef>
              <c:f>Sayfa4!$L$3</c:f>
              <c:strCache>
                <c:ptCount val="1"/>
                <c:pt idx="0">
                  <c:v>Ege</c:v>
                </c:pt>
              </c:strCache>
            </c:strRef>
          </c:tx>
          <c:spPr>
            <a:ln w="28575" cap="rnd">
              <a:solidFill>
                <a:schemeClr val="accent3"/>
              </a:solidFill>
              <a:round/>
            </a:ln>
            <a:effectLst/>
          </c:spPr>
          <c:marker>
            <c:symbol val="none"/>
          </c:marker>
          <c:cat>
            <c:numRef>
              <c:f>Sayfa4!$I$4:$I$28</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Sayfa4!$L$4:$L$28</c:f>
              <c:numCache>
                <c:formatCode>0%</c:formatCode>
                <c:ptCount val="15"/>
                <c:pt idx="0">
                  <c:v>0.15411902528089541</c:v>
                </c:pt>
                <c:pt idx="1">
                  <c:v>0.14945344917834857</c:v>
                </c:pt>
                <c:pt idx="2">
                  <c:v>0.15146333715472318</c:v>
                </c:pt>
                <c:pt idx="3">
                  <c:v>0.14884380322759244</c:v>
                </c:pt>
                <c:pt idx="4">
                  <c:v>0.15547375955769166</c:v>
                </c:pt>
                <c:pt idx="5">
                  <c:v>0.15738690309517048</c:v>
                </c:pt>
                <c:pt idx="6">
                  <c:v>0.15764555977652148</c:v>
                </c:pt>
                <c:pt idx="7">
                  <c:v>0.15726360188680741</c:v>
                </c:pt>
                <c:pt idx="8">
                  <c:v>0.15708184893755903</c:v>
                </c:pt>
                <c:pt idx="9">
                  <c:v>0.17333543849614047</c:v>
                </c:pt>
                <c:pt idx="10">
                  <c:v>0.17293954280217469</c:v>
                </c:pt>
                <c:pt idx="11">
                  <c:v>0.17719674310715325</c:v>
                </c:pt>
                <c:pt idx="12">
                  <c:v>0.18391332992854467</c:v>
                </c:pt>
                <c:pt idx="13">
                  <c:v>0.19308681938477124</c:v>
                </c:pt>
                <c:pt idx="14">
                  <c:v>0.19919719276146852</c:v>
                </c:pt>
              </c:numCache>
            </c:numRef>
          </c:val>
          <c:smooth val="0"/>
          <c:extLst>
            <c:ext xmlns:c16="http://schemas.microsoft.com/office/drawing/2014/chart" uri="{C3380CC4-5D6E-409C-BE32-E72D297353CC}">
              <c16:uniqueId val="{00000002-CFE6-4272-8231-CB9B59BE8518}"/>
            </c:ext>
          </c:extLst>
        </c:ser>
        <c:ser>
          <c:idx val="3"/>
          <c:order val="3"/>
          <c:tx>
            <c:strRef>
              <c:f>Sayfa4!$M$3</c:f>
              <c:strCache>
                <c:ptCount val="1"/>
                <c:pt idx="0">
                  <c:v>Karadeniz</c:v>
                </c:pt>
              </c:strCache>
            </c:strRef>
          </c:tx>
          <c:spPr>
            <a:ln w="28575" cap="rnd">
              <a:solidFill>
                <a:schemeClr val="accent4"/>
              </a:solidFill>
              <a:round/>
            </a:ln>
            <a:effectLst/>
          </c:spPr>
          <c:marker>
            <c:symbol val="none"/>
          </c:marker>
          <c:cat>
            <c:numRef>
              <c:f>Sayfa4!$I$4:$I$28</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Sayfa4!$M$4:$M$28</c:f>
              <c:numCache>
                <c:formatCode>0%</c:formatCode>
                <c:ptCount val="15"/>
                <c:pt idx="0">
                  <c:v>7.7990366378454065E-2</c:v>
                </c:pt>
                <c:pt idx="1">
                  <c:v>8.7977799100722898E-2</c:v>
                </c:pt>
                <c:pt idx="2">
                  <c:v>8.9497816967644056E-2</c:v>
                </c:pt>
                <c:pt idx="3">
                  <c:v>9.4295078389137199E-2</c:v>
                </c:pt>
                <c:pt idx="4">
                  <c:v>9.1693407396588072E-2</c:v>
                </c:pt>
                <c:pt idx="5">
                  <c:v>8.8158382279236211E-2</c:v>
                </c:pt>
                <c:pt idx="6">
                  <c:v>8.6651620899155082E-2</c:v>
                </c:pt>
                <c:pt idx="7">
                  <c:v>9.0144285073042327E-2</c:v>
                </c:pt>
                <c:pt idx="8">
                  <c:v>9.1345080542243329E-2</c:v>
                </c:pt>
                <c:pt idx="9">
                  <c:v>8.4390674788589887E-2</c:v>
                </c:pt>
                <c:pt idx="10">
                  <c:v>8.8574885607237142E-2</c:v>
                </c:pt>
                <c:pt idx="11">
                  <c:v>8.6728287355687966E-2</c:v>
                </c:pt>
                <c:pt idx="12">
                  <c:v>7.9570318426862546E-2</c:v>
                </c:pt>
                <c:pt idx="13">
                  <c:v>8.4621333741040555E-2</c:v>
                </c:pt>
                <c:pt idx="14">
                  <c:v>8.3530183335360081E-2</c:v>
                </c:pt>
              </c:numCache>
            </c:numRef>
          </c:val>
          <c:smooth val="0"/>
          <c:extLst>
            <c:ext xmlns:c16="http://schemas.microsoft.com/office/drawing/2014/chart" uri="{C3380CC4-5D6E-409C-BE32-E72D297353CC}">
              <c16:uniqueId val="{00000003-CFE6-4272-8231-CB9B59BE8518}"/>
            </c:ext>
          </c:extLst>
        </c:ser>
        <c:dLbls>
          <c:showLegendKey val="0"/>
          <c:showVal val="0"/>
          <c:showCatName val="0"/>
          <c:showSerName val="0"/>
          <c:showPercent val="0"/>
          <c:showBubbleSize val="0"/>
        </c:dLbls>
        <c:smooth val="0"/>
        <c:axId val="1375836799"/>
        <c:axId val="1375845919"/>
      </c:lineChart>
      <c:catAx>
        <c:axId val="137583679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tr-TR"/>
                  <a:t>Yıllar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1375845919"/>
        <c:crosses val="autoZero"/>
        <c:auto val="1"/>
        <c:lblAlgn val="ctr"/>
        <c:lblOffset val="100"/>
        <c:noMultiLvlLbl val="0"/>
      </c:catAx>
      <c:valAx>
        <c:axId val="1375845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tr-TR"/>
                  <a:t>Türkiye Payı</a:t>
                </a:r>
              </a:p>
            </c:rich>
          </c:tx>
          <c:layout>
            <c:manualLayout>
              <c:xMode val="edge"/>
              <c:yMode val="edge"/>
              <c:x val="1.6666666666666666E-2"/>
              <c:y val="0.3118438320209973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1375836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tr-TR" b="1"/>
              <a:t>Konteyner / 2023 Bölge Payları</a:t>
            </a:r>
          </a:p>
        </c:rich>
      </c:tx>
      <c:layout>
        <c:manualLayout>
          <c:xMode val="edge"/>
          <c:yMode val="edge"/>
          <c:x val="0.21709733158355204"/>
          <c:y val="1.712959317585301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456-4842-AE43-221CCCE4C28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456-4842-AE43-221CCCE4C28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456-4842-AE43-221CCCE4C28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456-4842-AE43-221CCCE4C28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Sayfa1!$B$66:$B$69</c:f>
              <c:strCache>
                <c:ptCount val="4"/>
                <c:pt idx="0">
                  <c:v>MARMARA</c:v>
                </c:pt>
                <c:pt idx="1">
                  <c:v>AKDENİZ</c:v>
                </c:pt>
                <c:pt idx="2">
                  <c:v>EGE</c:v>
                </c:pt>
                <c:pt idx="3">
                  <c:v>KARADENİZ</c:v>
                </c:pt>
              </c:strCache>
            </c:strRef>
          </c:cat>
          <c:val>
            <c:numRef>
              <c:f>Sayfa1!$C$66:$C$69</c:f>
              <c:numCache>
                <c:formatCode>#,##0</c:formatCode>
                <c:ptCount val="4"/>
                <c:pt idx="0">
                  <c:v>7861364.5</c:v>
                </c:pt>
                <c:pt idx="1">
                  <c:v>2677416</c:v>
                </c:pt>
                <c:pt idx="2">
                  <c:v>1876302.4999999995</c:v>
                </c:pt>
                <c:pt idx="3">
                  <c:v>141436.25</c:v>
                </c:pt>
              </c:numCache>
            </c:numRef>
          </c:val>
          <c:extLst>
            <c:ext xmlns:c16="http://schemas.microsoft.com/office/drawing/2014/chart" uri="{C3380CC4-5D6E-409C-BE32-E72D297353CC}">
              <c16:uniqueId val="{00000008-7456-4842-AE43-221CCCE4C284}"/>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7456-4842-AE43-221CCCE4C28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7456-4842-AE43-221CCCE4C28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7456-4842-AE43-221CCCE4C28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7456-4842-AE43-221CCCE4C28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Sayfa1!$B$66:$B$69</c:f>
              <c:strCache>
                <c:ptCount val="4"/>
                <c:pt idx="0">
                  <c:v>MARMARA</c:v>
                </c:pt>
                <c:pt idx="1">
                  <c:v>AKDENİZ</c:v>
                </c:pt>
                <c:pt idx="2">
                  <c:v>EGE</c:v>
                </c:pt>
                <c:pt idx="3">
                  <c:v>KARADENİZ</c:v>
                </c:pt>
              </c:strCache>
            </c:strRef>
          </c:cat>
          <c:val>
            <c:numRef>
              <c:f>Sayfa1!$D$66:$D$69</c:f>
              <c:numCache>
                <c:formatCode>0%</c:formatCode>
                <c:ptCount val="4"/>
                <c:pt idx="0">
                  <c:v>0.62607832182473655</c:v>
                </c:pt>
                <c:pt idx="1">
                  <c:v>0.21322915584269103</c:v>
                </c:pt>
                <c:pt idx="2">
                  <c:v>0.14942855282127646</c:v>
                </c:pt>
                <c:pt idx="3">
                  <c:v>1.1263969511295895E-2</c:v>
                </c:pt>
              </c:numCache>
            </c:numRef>
          </c:val>
          <c:extLst>
            <c:ext xmlns:c16="http://schemas.microsoft.com/office/drawing/2014/chart" uri="{C3380CC4-5D6E-409C-BE32-E72D297353CC}">
              <c16:uniqueId val="{00000011-7456-4842-AE43-221CCCE4C284}"/>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Konteyner</a:t>
            </a:r>
            <a:r>
              <a:rPr lang="tr-TR" b="1"/>
              <a:t> / 2024 Bölge Payları</a:t>
            </a:r>
            <a:endParaRPr lang="en-US" b="1"/>
          </a:p>
        </c:rich>
      </c:tx>
      <c:layout>
        <c:manualLayout>
          <c:xMode val="edge"/>
          <c:yMode val="edge"/>
          <c:x val="0.23215966754155726"/>
          <c:y val="1.314348302300109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080-4DC6-B6EE-917482444B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080-4DC6-B6EE-917482444B6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080-4DC6-B6EE-917482444B6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080-4DC6-B6EE-917482444B6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Sayfa1!$B$44:$B$47</c:f>
              <c:strCache>
                <c:ptCount val="4"/>
                <c:pt idx="0">
                  <c:v>MARMARA</c:v>
                </c:pt>
                <c:pt idx="1">
                  <c:v>AKDENİZ</c:v>
                </c:pt>
                <c:pt idx="2">
                  <c:v>EGE</c:v>
                </c:pt>
                <c:pt idx="3">
                  <c:v>KARADENİZ</c:v>
                </c:pt>
              </c:strCache>
            </c:strRef>
          </c:cat>
          <c:val>
            <c:numRef>
              <c:f>Sayfa1!$C$44:$C$47</c:f>
              <c:numCache>
                <c:formatCode>#,##0</c:formatCode>
                <c:ptCount val="4"/>
                <c:pt idx="0">
                  <c:v>8267909</c:v>
                </c:pt>
                <c:pt idx="1">
                  <c:v>2747347</c:v>
                </c:pt>
                <c:pt idx="2">
                  <c:v>2381136</c:v>
                </c:pt>
                <c:pt idx="3">
                  <c:v>133338</c:v>
                </c:pt>
              </c:numCache>
            </c:numRef>
          </c:val>
          <c:extLst>
            <c:ext xmlns:c16="http://schemas.microsoft.com/office/drawing/2014/chart" uri="{C3380CC4-5D6E-409C-BE32-E72D297353CC}">
              <c16:uniqueId val="{00000008-E080-4DC6-B6EE-917482444B60}"/>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E080-4DC6-B6EE-917482444B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E080-4DC6-B6EE-917482444B6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E080-4DC6-B6EE-917482444B6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E080-4DC6-B6EE-917482444B6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Sayfa1!$B$44:$B$47</c:f>
              <c:strCache>
                <c:ptCount val="4"/>
                <c:pt idx="0">
                  <c:v>MARMARA</c:v>
                </c:pt>
                <c:pt idx="1">
                  <c:v>AKDENİZ</c:v>
                </c:pt>
                <c:pt idx="2">
                  <c:v>EGE</c:v>
                </c:pt>
                <c:pt idx="3">
                  <c:v>KARADENİZ</c:v>
                </c:pt>
              </c:strCache>
            </c:strRef>
          </c:cat>
          <c:val>
            <c:numRef>
              <c:f>Sayfa1!$D$44:$D$47</c:f>
              <c:numCache>
                <c:formatCode>0%</c:formatCode>
                <c:ptCount val="4"/>
                <c:pt idx="0">
                  <c:v>0.61</c:v>
                </c:pt>
                <c:pt idx="1">
                  <c:v>0.2</c:v>
                </c:pt>
                <c:pt idx="2">
                  <c:v>0.18</c:v>
                </c:pt>
                <c:pt idx="3">
                  <c:v>0.01</c:v>
                </c:pt>
              </c:numCache>
            </c:numRef>
          </c:val>
          <c:extLst>
            <c:ext xmlns:c16="http://schemas.microsoft.com/office/drawing/2014/chart" uri="{C3380CC4-5D6E-409C-BE32-E72D297353CC}">
              <c16:uniqueId val="{00000011-E080-4DC6-B6EE-917482444B6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Sayfa2!$C$21:$C$22</c:f>
              <c:strCache>
                <c:ptCount val="2"/>
                <c:pt idx="0">
                  <c:v>Kerkük-Yumurtalık (BOTAŞ Ceyhan)</c:v>
                </c:pt>
              </c:strCache>
            </c:strRef>
          </c:tx>
          <c:spPr>
            <a:solidFill>
              <a:schemeClr val="accent1"/>
            </a:solidFill>
            <a:ln>
              <a:noFill/>
            </a:ln>
            <a:effectLst/>
          </c:spPr>
          <c:invertIfNegative val="0"/>
          <c:cat>
            <c:strRef>
              <c:f>Sayfa2!$B$23:$B$35</c:f>
              <c:strCach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strCache>
            </c:strRef>
          </c:cat>
          <c:val>
            <c:numRef>
              <c:f>Sayfa2!$C$23:$C$35</c:f>
              <c:numCache>
                <c:formatCode>#,##0</c:formatCode>
                <c:ptCount val="13"/>
                <c:pt idx="0">
                  <c:v>7551.951454256855</c:v>
                </c:pt>
                <c:pt idx="1">
                  <c:v>5158.8476013819654</c:v>
                </c:pt>
                <c:pt idx="2">
                  <c:v>3143.2683316366242</c:v>
                </c:pt>
                <c:pt idx="3">
                  <c:v>10803.918119168138</c:v>
                </c:pt>
                <c:pt idx="4">
                  <c:v>10636.210515092</c:v>
                </c:pt>
                <c:pt idx="5">
                  <c:v>10382.880515228744</c:v>
                </c:pt>
                <c:pt idx="6">
                  <c:v>7560.7102042521274</c:v>
                </c:pt>
                <c:pt idx="7">
                  <c:v>10897.007910784556</c:v>
                </c:pt>
                <c:pt idx="8">
                  <c:v>10771.858848352111</c:v>
                </c:pt>
                <c:pt idx="9">
                  <c:v>10492.252598503039</c:v>
                </c:pt>
                <c:pt idx="10">
                  <c:v>9776.1686405562414</c:v>
                </c:pt>
                <c:pt idx="11">
                  <c:v>2167.6783321632392</c:v>
                </c:pt>
                <c:pt idx="12">
                  <c:v>1.6282291657877626</c:v>
                </c:pt>
              </c:numCache>
            </c:numRef>
          </c:val>
          <c:extLst>
            <c:ext xmlns:c16="http://schemas.microsoft.com/office/drawing/2014/chart" uri="{C3380CC4-5D6E-409C-BE32-E72D297353CC}">
              <c16:uniqueId val="{00000000-A5AC-4156-A3EC-85279077E3C5}"/>
            </c:ext>
          </c:extLst>
        </c:ser>
        <c:ser>
          <c:idx val="1"/>
          <c:order val="1"/>
          <c:tx>
            <c:strRef>
              <c:f>Sayfa2!$D$21:$D$22</c:f>
              <c:strCache>
                <c:ptCount val="2"/>
                <c:pt idx="0">
                  <c:v>Ceyhan-Kırıkkale (BOTAŞ Ceyhan)</c:v>
                </c:pt>
                <c:pt idx="1">
                  <c:v>HPBH</c:v>
                </c:pt>
              </c:strCache>
            </c:strRef>
          </c:tx>
          <c:spPr>
            <a:solidFill>
              <a:schemeClr val="accent2"/>
            </a:solidFill>
            <a:ln>
              <a:noFill/>
            </a:ln>
            <a:effectLst/>
          </c:spPr>
          <c:invertIfNegative val="0"/>
          <c:cat>
            <c:strRef>
              <c:f>Sayfa2!$B$23:$B$35</c:f>
              <c:strCach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strCache>
            </c:strRef>
          </c:cat>
          <c:val>
            <c:numRef>
              <c:f>Sayfa2!$D$23:$D$35</c:f>
              <c:numCache>
                <c:formatCode>#,##0</c:formatCode>
                <c:ptCount val="13"/>
                <c:pt idx="0">
                  <c:v>1233.0747910010637</c:v>
                </c:pt>
                <c:pt idx="1">
                  <c:v>1332.9020826138444</c:v>
                </c:pt>
                <c:pt idx="2">
                  <c:v>1247.1673951601231</c:v>
                </c:pt>
                <c:pt idx="3">
                  <c:v>1739.5102073943608</c:v>
                </c:pt>
                <c:pt idx="4">
                  <c:v>1985.1482280951009</c:v>
                </c:pt>
                <c:pt idx="5">
                  <c:v>2206.0820821425091</c:v>
                </c:pt>
                <c:pt idx="6">
                  <c:v>1757.364582384723</c:v>
                </c:pt>
                <c:pt idx="7">
                  <c:v>1961.6231239411327</c:v>
                </c:pt>
                <c:pt idx="8">
                  <c:v>1804.6393740258713</c:v>
                </c:pt>
                <c:pt idx="9">
                  <c:v>1721.6558324039984</c:v>
                </c:pt>
                <c:pt idx="10">
                  <c:v>1780.7773948720851</c:v>
                </c:pt>
                <c:pt idx="11">
                  <c:v>1413.7520825702022</c:v>
                </c:pt>
                <c:pt idx="12">
                  <c:v>1894.0235406442891</c:v>
                </c:pt>
              </c:numCache>
            </c:numRef>
          </c:val>
          <c:extLst>
            <c:ext xmlns:c16="http://schemas.microsoft.com/office/drawing/2014/chart" uri="{C3380CC4-5D6E-409C-BE32-E72D297353CC}">
              <c16:uniqueId val="{00000001-A5AC-4156-A3EC-85279077E3C5}"/>
            </c:ext>
          </c:extLst>
        </c:ser>
        <c:ser>
          <c:idx val="2"/>
          <c:order val="2"/>
          <c:tx>
            <c:strRef>
              <c:f>Sayfa2!$E$21:$E$22</c:f>
              <c:strCache>
                <c:ptCount val="2"/>
                <c:pt idx="0">
                  <c:v>Batman-Dörtyol (BOTAŞ Dörtyol)</c:v>
                </c:pt>
                <c:pt idx="1">
                  <c:v>HPBH</c:v>
                </c:pt>
              </c:strCache>
            </c:strRef>
          </c:tx>
          <c:spPr>
            <a:solidFill>
              <a:schemeClr val="accent3"/>
            </a:solidFill>
            <a:ln>
              <a:noFill/>
            </a:ln>
            <a:effectLst/>
          </c:spPr>
          <c:invertIfNegative val="0"/>
          <c:cat>
            <c:strRef>
              <c:f>Sayfa2!$B$23:$B$35</c:f>
              <c:strCach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strCache>
            </c:strRef>
          </c:cat>
          <c:val>
            <c:numRef>
              <c:f>Sayfa2!$E$23:$E$35</c:f>
              <c:numCache>
                <c:formatCode>#,##0</c:formatCode>
                <c:ptCount val="13"/>
                <c:pt idx="0">
                  <c:v>990.91781196511113</c:v>
                </c:pt>
                <c:pt idx="1">
                  <c:v>1021.5734369485635</c:v>
                </c:pt>
                <c:pt idx="2">
                  <c:v>998.27291612780755</c:v>
                </c:pt>
                <c:pt idx="3">
                  <c:v>1107.4204160688907</c:v>
                </c:pt>
                <c:pt idx="4">
                  <c:v>1128.0820827244045</c:v>
                </c:pt>
                <c:pt idx="5">
                  <c:v>1109.2732285678906</c:v>
                </c:pt>
                <c:pt idx="6">
                  <c:v>1149.3052077129482</c:v>
                </c:pt>
                <c:pt idx="7">
                  <c:v>1209.1566660139742</c:v>
                </c:pt>
                <c:pt idx="8">
                  <c:v>1368.610832594569</c:v>
                </c:pt>
                <c:pt idx="9">
                  <c:v>1359.9082284326</c:v>
                </c:pt>
                <c:pt idx="10">
                  <c:v>1402.4667700762939</c:v>
                </c:pt>
                <c:pt idx="11">
                  <c:v>1601.447603302219</c:v>
                </c:pt>
                <c:pt idx="12">
                  <c:v>1948.0919781151035</c:v>
                </c:pt>
              </c:numCache>
            </c:numRef>
          </c:val>
          <c:extLst>
            <c:ext xmlns:c16="http://schemas.microsoft.com/office/drawing/2014/chart" uri="{C3380CC4-5D6E-409C-BE32-E72D297353CC}">
              <c16:uniqueId val="{00000002-A5AC-4156-A3EC-85279077E3C5}"/>
            </c:ext>
          </c:extLst>
        </c:ser>
        <c:ser>
          <c:idx val="3"/>
          <c:order val="3"/>
          <c:tx>
            <c:strRef>
              <c:f>Sayfa2!$F$21:$F$22</c:f>
              <c:strCache>
                <c:ptCount val="2"/>
                <c:pt idx="0">
                  <c:v>Dörtyol-Ceyhan (BOTAŞ CEYHAN)</c:v>
                </c:pt>
                <c:pt idx="1">
                  <c:v>HPBH</c:v>
                </c:pt>
              </c:strCache>
            </c:strRef>
          </c:tx>
          <c:spPr>
            <a:solidFill>
              <a:schemeClr val="accent4"/>
            </a:solidFill>
            <a:ln>
              <a:noFill/>
            </a:ln>
            <a:effectLst/>
          </c:spPr>
          <c:invertIfNegative val="0"/>
          <c:cat>
            <c:strRef>
              <c:f>Sayfa2!$B$23:$B$35</c:f>
              <c:strCach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strCache>
            </c:strRef>
          </c:cat>
          <c:val>
            <c:numRef>
              <c:f>Sayfa2!$F$23:$F$35</c:f>
              <c:numCache>
                <c:formatCode>General</c:formatCode>
                <c:ptCount val="13"/>
                <c:pt idx="11" formatCode="#,##0">
                  <c:v>1228.3023951703062</c:v>
                </c:pt>
                <c:pt idx="12" formatCode="#,##0">
                  <c:v>1884.1980198162596</c:v>
                </c:pt>
              </c:numCache>
            </c:numRef>
          </c:val>
          <c:extLst>
            <c:ext xmlns:c16="http://schemas.microsoft.com/office/drawing/2014/chart" uri="{C3380CC4-5D6E-409C-BE32-E72D297353CC}">
              <c16:uniqueId val="{00000003-A5AC-4156-A3EC-85279077E3C5}"/>
            </c:ext>
          </c:extLst>
        </c:ser>
        <c:ser>
          <c:idx val="4"/>
          <c:order val="4"/>
          <c:tx>
            <c:strRef>
              <c:f>Sayfa2!$G$21:$G$22</c:f>
              <c:strCache>
                <c:ptCount val="2"/>
                <c:pt idx="0">
                  <c:v>Bakü-Tiflis-Ceyhan (BTC)</c:v>
                </c:pt>
                <c:pt idx="1">
                  <c:v>HPBH</c:v>
                </c:pt>
              </c:strCache>
            </c:strRef>
          </c:tx>
          <c:spPr>
            <a:solidFill>
              <a:schemeClr val="accent5"/>
            </a:solidFill>
            <a:ln>
              <a:noFill/>
            </a:ln>
            <a:effectLst/>
          </c:spPr>
          <c:invertIfNegative val="0"/>
          <c:cat>
            <c:strRef>
              <c:f>Sayfa2!$B$23:$B$35</c:f>
              <c:strCach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strCache>
            </c:strRef>
          </c:cat>
          <c:val>
            <c:numRef>
              <c:f>Sayfa2!$G$23:$G$35</c:f>
              <c:numCache>
                <c:formatCode>#,##0</c:formatCode>
                <c:ptCount val="13"/>
                <c:pt idx="0">
                  <c:v>14055.828638246119</c:v>
                </c:pt>
                <c:pt idx="1">
                  <c:v>14014.954471601515</c:v>
                </c:pt>
                <c:pt idx="2">
                  <c:v>14635.81509626638</c:v>
                </c:pt>
                <c:pt idx="3">
                  <c:v>14720.763742053859</c:v>
                </c:pt>
                <c:pt idx="4">
                  <c:v>14259.694158969407</c:v>
                </c:pt>
                <c:pt idx="5">
                  <c:v>14191.589263172837</c:v>
                </c:pt>
                <c:pt idx="6">
                  <c:v>14360.419783915037</c:v>
                </c:pt>
                <c:pt idx="7">
                  <c:v>13207.914263703815</c:v>
                </c:pt>
                <c:pt idx="8">
                  <c:v>11681.926660360863</c:v>
                </c:pt>
                <c:pt idx="9">
                  <c:v>11237.53238976741</c:v>
                </c:pt>
                <c:pt idx="10">
                  <c:v>12657.797389000763</c:v>
                </c:pt>
                <c:pt idx="11">
                  <c:v>12846.784263898749</c:v>
                </c:pt>
                <c:pt idx="12">
                  <c:v>12584.639368206921</c:v>
                </c:pt>
              </c:numCache>
            </c:numRef>
          </c:val>
          <c:extLst>
            <c:ext xmlns:c16="http://schemas.microsoft.com/office/drawing/2014/chart" uri="{C3380CC4-5D6E-409C-BE32-E72D297353CC}">
              <c16:uniqueId val="{00000004-A5AC-4156-A3EC-85279077E3C5}"/>
            </c:ext>
          </c:extLst>
        </c:ser>
        <c:dLbls>
          <c:showLegendKey val="0"/>
          <c:showVal val="0"/>
          <c:showCatName val="0"/>
          <c:showSerName val="0"/>
          <c:showPercent val="0"/>
          <c:showBubbleSize val="0"/>
        </c:dLbls>
        <c:gapWidth val="219"/>
        <c:overlap val="-27"/>
        <c:axId val="622165199"/>
        <c:axId val="1184511487"/>
      </c:barChart>
      <c:catAx>
        <c:axId val="62216519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tr-TR" b="1"/>
                  <a:t>Yıllar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1184511487"/>
        <c:crosses val="autoZero"/>
        <c:auto val="1"/>
        <c:lblAlgn val="ctr"/>
        <c:lblOffset val="100"/>
        <c:noMultiLvlLbl val="0"/>
      </c:catAx>
      <c:valAx>
        <c:axId val="1184511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tr-TR" b="1"/>
                  <a:t>Tonaj (Milyon Ton)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22165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D1EA-0950-4896-A0F2-7A843FA7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7366</Words>
  <Characters>41989</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49257</CharactersWithSpaces>
  <SharedDoc>false</SharedDoc>
  <HLinks>
    <vt:vector size="42" baseType="variant">
      <vt:variant>
        <vt:i4>5373982</vt:i4>
      </vt:variant>
      <vt:variant>
        <vt:i4>15</vt:i4>
      </vt:variant>
      <vt:variant>
        <vt:i4>0</vt:i4>
      </vt:variant>
      <vt:variant>
        <vt:i4>5</vt:i4>
      </vt:variant>
      <vt:variant>
        <vt:lpwstr>https://tr.wikipedia.org/wiki/Ceyhan</vt:lpwstr>
      </vt:variant>
      <vt:variant>
        <vt:lpwstr/>
      </vt:variant>
      <vt:variant>
        <vt:i4>4456534</vt:i4>
      </vt:variant>
      <vt:variant>
        <vt:i4>12</vt:i4>
      </vt:variant>
      <vt:variant>
        <vt:i4>0</vt:i4>
      </vt:variant>
      <vt:variant>
        <vt:i4>5</vt:i4>
      </vt:variant>
      <vt:variant>
        <vt:lpwstr>https://tr.wikipedia.org/wiki/G%C3%BCrcistan</vt:lpwstr>
      </vt:variant>
      <vt:variant>
        <vt:lpwstr/>
      </vt:variant>
      <vt:variant>
        <vt:i4>5570587</vt:i4>
      </vt:variant>
      <vt:variant>
        <vt:i4>9</vt:i4>
      </vt:variant>
      <vt:variant>
        <vt:i4>0</vt:i4>
      </vt:variant>
      <vt:variant>
        <vt:i4>5</vt:i4>
      </vt:variant>
      <vt:variant>
        <vt:lpwstr>https://tr.wikipedia.org/wiki/Azerbaycan</vt:lpwstr>
      </vt:variant>
      <vt:variant>
        <vt:lpwstr/>
      </vt:variant>
      <vt:variant>
        <vt:i4>7602186</vt:i4>
      </vt:variant>
      <vt:variant>
        <vt:i4>6</vt:i4>
      </vt:variant>
      <vt:variant>
        <vt:i4>0</vt:i4>
      </vt:variant>
      <vt:variant>
        <vt:i4>5</vt:i4>
      </vt:variant>
      <vt:variant>
        <vt:lpwstr>https://tr.wikipedia.org/wiki/Sanga%C3%A7al_Terminali</vt:lpwstr>
      </vt:variant>
      <vt:variant>
        <vt:lpwstr/>
      </vt:variant>
      <vt:variant>
        <vt:i4>2359338</vt:i4>
      </vt:variant>
      <vt:variant>
        <vt:i4>3</vt:i4>
      </vt:variant>
      <vt:variant>
        <vt:i4>0</vt:i4>
      </vt:variant>
      <vt:variant>
        <vt:i4>5</vt:i4>
      </vt:variant>
      <vt:variant>
        <vt:lpwstr>https://tr.wikipedia.org/wiki/Bak%C3%BC</vt:lpwstr>
      </vt:variant>
      <vt:variant>
        <vt:lpwstr/>
      </vt:variant>
      <vt:variant>
        <vt:i4>5570587</vt:i4>
      </vt:variant>
      <vt:variant>
        <vt:i4>0</vt:i4>
      </vt:variant>
      <vt:variant>
        <vt:i4>0</vt:i4>
      </vt:variant>
      <vt:variant>
        <vt:i4>5</vt:i4>
      </vt:variant>
      <vt:variant>
        <vt:lpwstr>https://tr.wikipedia.org/wiki/Azerbaycan</vt:lpwstr>
      </vt:variant>
      <vt:variant>
        <vt:lpwstr/>
      </vt:variant>
      <vt:variant>
        <vt:i4>4325441</vt:i4>
      </vt:variant>
      <vt:variant>
        <vt:i4>0</vt:i4>
      </vt:variant>
      <vt:variant>
        <vt:i4>0</vt:i4>
      </vt:variant>
      <vt:variant>
        <vt:i4>5</vt:i4>
      </vt:variant>
      <vt:variant>
        <vt:lpwstr>https://www.botas.gov.tr/Sayfa/ham-petrol/13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Erdemir</dc:creator>
  <cp:keywords/>
  <dc:description/>
  <cp:lastModifiedBy>Aydin Erdemir</cp:lastModifiedBy>
  <cp:revision>73</cp:revision>
  <cp:lastPrinted>2025-02-12T03:21:00Z</cp:lastPrinted>
  <dcterms:created xsi:type="dcterms:W3CDTF">2025-02-12T03:07:00Z</dcterms:created>
  <dcterms:modified xsi:type="dcterms:W3CDTF">2025-02-12T08:38:00Z</dcterms:modified>
</cp:coreProperties>
</file>